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5DE7">
      <w:pPr>
        <w:pBdr>
          <w:bottom w:val="single" w:sz="6" w:space="1" w:color="auto"/>
        </w:pBdr>
        <w:ind w:right="2069" w:firstLine="284"/>
        <w:jc w:val="center"/>
      </w:pPr>
      <w:bookmarkStart w:id="0" w:name="_GoBack"/>
      <w:bookmarkEnd w:id="0"/>
      <w:r>
        <w:t>ГОСУДАРСТВЕННЫЙ СТАНДАРТ СОЮЗА ССР</w:t>
      </w:r>
    </w:p>
    <w:p w:rsidR="00000000" w:rsidRDefault="009A5DE7">
      <w:pPr>
        <w:ind w:right="2069" w:firstLine="284"/>
        <w:jc w:val="center"/>
        <w:rPr>
          <w:b/>
          <w:sz w:val="24"/>
          <w:lang w:val="en-US"/>
        </w:rPr>
      </w:pPr>
      <w:r>
        <w:rPr>
          <w:b/>
          <w:sz w:val="24"/>
        </w:rPr>
        <w:t>ГОСТ 10181.1-81</w:t>
      </w:r>
    </w:p>
    <w:p w:rsidR="00000000" w:rsidRDefault="009A5DE7">
      <w:pPr>
        <w:spacing w:before="120" w:after="120"/>
        <w:ind w:right="2070" w:firstLine="284"/>
        <w:jc w:val="center"/>
        <w:rPr>
          <w:b/>
          <w:sz w:val="24"/>
        </w:rPr>
      </w:pPr>
      <w:r>
        <w:rPr>
          <w:b/>
          <w:sz w:val="24"/>
        </w:rPr>
        <w:t>СМЕСИ БЕТОННЫЕ</w:t>
      </w:r>
    </w:p>
    <w:p w:rsidR="00000000" w:rsidRDefault="009A5DE7">
      <w:pPr>
        <w:spacing w:after="120"/>
        <w:ind w:right="2070" w:firstLine="284"/>
        <w:jc w:val="center"/>
        <w:rPr>
          <w:b/>
        </w:rPr>
      </w:pPr>
      <w:r>
        <w:rPr>
          <w:b/>
        </w:rPr>
        <w:t>Методы определения удобоукладываемости</w:t>
      </w:r>
    </w:p>
    <w:p w:rsidR="00000000" w:rsidRDefault="009A5DE7">
      <w:pPr>
        <w:pBdr>
          <w:bottom w:val="single" w:sz="6" w:space="1" w:color="auto"/>
        </w:pBdr>
        <w:ind w:right="2069" w:firstLine="284"/>
        <w:jc w:val="center"/>
        <w:rPr>
          <w:lang w:val="en-US"/>
        </w:rPr>
      </w:pPr>
      <w:r>
        <w:rPr>
          <w:lang w:val="en-US"/>
        </w:rPr>
        <w:t>Concrete mixtures. Test methods for determination of workability.</w:t>
      </w:r>
    </w:p>
    <w:p w:rsidR="00000000" w:rsidRDefault="009A5DE7">
      <w:pPr>
        <w:ind w:right="2069" w:firstLine="284"/>
      </w:pPr>
      <w:r>
        <w:t>Постановлением Государственного комитета СССР по делам строительства от 31 декабря 19</w:t>
      </w:r>
      <w:r>
        <w:t>80 г. № 228 срок введения установлен</w:t>
      </w:r>
    </w:p>
    <w:p w:rsidR="00000000" w:rsidRDefault="009A5DE7">
      <w:pPr>
        <w:ind w:right="2069" w:firstLine="284"/>
        <w:jc w:val="right"/>
        <w:rPr>
          <w:u w:val="single"/>
        </w:rPr>
      </w:pPr>
      <w:r>
        <w:rPr>
          <w:u w:val="single"/>
        </w:rPr>
        <w:t>с 01.01.82</w:t>
      </w:r>
    </w:p>
    <w:p w:rsidR="00000000" w:rsidRDefault="009A5DE7">
      <w:pPr>
        <w:ind w:right="2069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9A5DE7">
      <w:pPr>
        <w:ind w:right="2069" w:firstLine="284"/>
      </w:pPr>
      <w:r>
        <w:t>Настоящий стандарт распространяется на бетонные смеси, приготовленные на минеральных вяжущих, плотных и пористых заполнителях, и устанавливает методы определения их удобоукладываемости по показателям подвижности и жесткости.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ОБЩИЕ ТРЕБОВАНИЯ</w:t>
      </w:r>
    </w:p>
    <w:p w:rsidR="00000000" w:rsidRDefault="009A5DE7">
      <w:pPr>
        <w:ind w:right="2069" w:firstLine="284"/>
      </w:pPr>
      <w:r>
        <w:t>1.1. Общие требования к методу определения удобоукладываемости бетонной смеси - по ГОСТ 10181.0-81.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9A5DE7">
      <w:pPr>
        <w:ind w:right="2069" w:firstLine="284"/>
      </w:pPr>
      <w:r>
        <w:t>2.1. Для проведения испытаний применяют:</w:t>
      </w:r>
    </w:p>
    <w:p w:rsidR="00000000" w:rsidRDefault="009A5DE7">
      <w:pPr>
        <w:ind w:right="2069" w:firstLine="284"/>
      </w:pPr>
      <w:r>
        <w:t>конус (черт. 1);</w:t>
      </w:r>
    </w:p>
    <w:p w:rsidR="00000000" w:rsidRDefault="009A5DE7">
      <w:pPr>
        <w:ind w:right="2069" w:firstLine="284"/>
      </w:pPr>
      <w:r>
        <w:t>п</w:t>
      </w:r>
      <w:r>
        <w:t>рибор для определения жесткости (черт. 2);</w:t>
      </w:r>
    </w:p>
    <w:p w:rsidR="00000000" w:rsidRDefault="009A5DE7">
      <w:pPr>
        <w:ind w:right="2069" w:firstLine="284"/>
      </w:pPr>
      <w:r>
        <w:t>лабораторную виброплощадку;</w:t>
      </w:r>
    </w:p>
    <w:p w:rsidR="00000000" w:rsidRDefault="009A5DE7">
      <w:pPr>
        <w:ind w:right="2069" w:firstLine="284"/>
      </w:pPr>
      <w:r>
        <w:t>стальные линейки по ГОСТ 427-75;</w:t>
      </w:r>
    </w:p>
    <w:p w:rsidR="00000000" w:rsidRDefault="009A5DE7">
      <w:pPr>
        <w:ind w:right="2069" w:firstLine="284"/>
      </w:pPr>
      <w:r>
        <w:t>кельму типа КБ по ГОСТ 9533-81;</w:t>
      </w:r>
    </w:p>
    <w:p w:rsidR="00000000" w:rsidRDefault="009A5DE7">
      <w:pPr>
        <w:ind w:right="2069" w:firstLine="284"/>
      </w:pPr>
      <w:r>
        <w:t>прямой металлический гладкий стержень диаметром 16 мм, длиной 600 мм, с округленными концами;</w:t>
      </w:r>
    </w:p>
    <w:p w:rsidR="00000000" w:rsidRDefault="009A5DE7">
      <w:pPr>
        <w:ind w:right="2069" w:firstLine="284"/>
      </w:pPr>
      <w:r>
        <w:t>загрузочную воронку;</w:t>
      </w:r>
    </w:p>
    <w:p w:rsidR="00000000" w:rsidRDefault="009A5DE7">
      <w:pPr>
        <w:ind w:right="2069" w:firstLine="284"/>
      </w:pPr>
      <w:r>
        <w:t>гладкий металлический лист размерами не менее 700х700 мм.</w:t>
      </w:r>
    </w:p>
    <w:p w:rsidR="00000000" w:rsidRDefault="009A5DE7">
      <w:pPr>
        <w:ind w:right="2069" w:firstLine="284"/>
      </w:pPr>
      <w:r>
        <w:t xml:space="preserve">2.2. Конус изготовляют из листовой стали. Внутренняя сторона конуса должна иметь гладкую поверхность, степень шероховатости которой не должна быть более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z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40 </w:t>
      </w:r>
      <w:r>
        <w:t>мкм по ГОСТ 2789-73.</w:t>
      </w:r>
    </w:p>
    <w:p w:rsidR="00000000" w:rsidRDefault="009A5DE7">
      <w:pPr>
        <w:ind w:right="2069" w:firstLine="284"/>
        <w:jc w:val="center"/>
        <w:rPr>
          <w:b/>
        </w:rPr>
      </w:pPr>
      <w:r>
        <w:rPr>
          <w:b/>
        </w:rPr>
        <w:t>Конус для определения п</w:t>
      </w:r>
      <w:r>
        <w:rPr>
          <w:b/>
        </w:rPr>
        <w:t>одвижности бетонной смеси</w:t>
      </w:r>
    </w:p>
    <w:p w:rsidR="00000000" w:rsidRDefault="009A5DE7">
      <w:pPr>
        <w:ind w:right="2069" w:firstLine="284"/>
        <w:jc w:val="center"/>
      </w:pPr>
    </w:p>
    <w:p w:rsidR="00000000" w:rsidRDefault="009A5DE7">
      <w:pPr>
        <w:ind w:right="2069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59.75pt">
            <v:imagedata r:id="rId5" o:title=""/>
          </v:shape>
        </w:pict>
      </w:r>
    </w:p>
    <w:p w:rsidR="00000000" w:rsidRDefault="009A5DE7">
      <w:pPr>
        <w:ind w:left="284" w:right="2069"/>
        <w:jc w:val="center"/>
      </w:pPr>
      <w:r>
        <w:t>1 - ручка; 2 - корпус прибора; 3 - упоры; 4 - сварной шов</w:t>
      </w:r>
    </w:p>
    <w:p w:rsidR="00000000" w:rsidRDefault="009A5DE7">
      <w:pPr>
        <w:ind w:right="2069"/>
        <w:jc w:val="center"/>
      </w:pPr>
      <w:r>
        <w:t>Черт.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347"/>
        <w:gridCol w:w="1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A5DE7">
            <w:pPr>
              <w:jc w:val="center"/>
            </w:pPr>
            <w:r>
              <w:t>Наименование конуса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t>Внутренние размеры конуса,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A5DE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</w:tcBorders>
          </w:tcPr>
          <w:p w:rsidR="00000000" w:rsidRDefault="009A5DE7">
            <w: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100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200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300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A5DE7">
            <w:r>
              <w:t>Увеличенный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150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300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A5DE7">
            <w:pPr>
              <w:jc w:val="center"/>
            </w:pPr>
            <w:r>
              <w:rPr>
                <w:lang w:val="en-US"/>
              </w:rPr>
              <w:t>450</w:t>
            </w:r>
            <w:r>
              <w:rPr>
                <w:lang w:val="en-US"/>
              </w:rPr>
              <w:sym w:font="Times New Roman" w:char="00B1"/>
            </w:r>
            <w:r>
              <w:rPr>
                <w:lang w:val="en-US"/>
              </w:rPr>
              <w:t>1</w:t>
            </w:r>
          </w:p>
        </w:tc>
      </w:tr>
    </w:tbl>
    <w:p w:rsidR="00000000" w:rsidRDefault="009A5DE7">
      <w:pPr>
        <w:spacing w:before="120"/>
        <w:ind w:right="2070" w:firstLine="284"/>
      </w:pPr>
      <w:r>
        <w:rPr>
          <w:lang w:val="en-US"/>
        </w:rPr>
        <w:t>2</w:t>
      </w:r>
      <w:r>
        <w:t xml:space="preserve">.3. Цилиндрическое кольцо 1, конус 2 и воронку 4 прибора для определения жесткости изготовляют из листовой стали. Кольцо и конус </w:t>
      </w:r>
      <w:r>
        <w:lastRenderedPageBreak/>
        <w:t>должны иметь гладкую внутреннюю поверхность, степень шерохо</w:t>
      </w:r>
      <w:r>
        <w:softHyphen/>
        <w:t>ва</w:t>
      </w:r>
      <w:r>
        <w:softHyphen/>
        <w:t>тос</w:t>
      </w:r>
      <w:r>
        <w:softHyphen/>
        <w:t xml:space="preserve">ти которой не должна быть более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z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40 </w:t>
      </w:r>
      <w:r>
        <w:t>мкм по ГОСТ 2789-73. Диск 8, штангу 10 и шайбу 9 изготавливают из</w:t>
      </w:r>
      <w:r>
        <w:t xml:space="preserve"> стали.</w:t>
      </w:r>
    </w:p>
    <w:p w:rsidR="00000000" w:rsidRDefault="009A5DE7">
      <w:pPr>
        <w:ind w:right="2069" w:firstLine="284"/>
      </w:pPr>
      <w:r>
        <w:t>Общая масса диска, штанги и шайбы прибора должна составлять (2750</w:t>
      </w:r>
      <w:r>
        <w:sym w:font="Times New Roman" w:char="00B1"/>
      </w:r>
      <w:r>
        <w:t>50) г.</w:t>
      </w:r>
    </w:p>
    <w:p w:rsidR="00000000" w:rsidRDefault="009A5DE7">
      <w:pPr>
        <w:ind w:right="2069" w:firstLine="284"/>
      </w:pPr>
      <w:r>
        <w:t>2.4. Лабораторная виброплощадка с установленным на ней прибором без бетонной смеси должна обеспечивать вертикально направленные колебания частотой (2900</w:t>
      </w:r>
      <w:r>
        <w:sym w:font="Times New Roman" w:char="00B1"/>
      </w:r>
      <w:r>
        <w:t>100) в минуту и амплитудой (0,5</w:t>
      </w:r>
      <w:r>
        <w:sym w:font="Times New Roman" w:char="00B1"/>
      </w:r>
      <w:r>
        <w:t>0,01) мм.</w:t>
      </w:r>
    </w:p>
    <w:p w:rsidR="00000000" w:rsidRDefault="009A5DE7">
      <w:pPr>
        <w:ind w:right="2069" w:firstLine="284"/>
      </w:pPr>
      <w:r>
        <w:t>Виброплощадка должна иметь устройства, обеспечивающие при испытании жесткое крепление прибора к поверхности стола. Фланец цилиндрического кольца прибора должен плотно прилегать к поверхности стола виброплощадки для предотвращения вытека</w:t>
      </w:r>
      <w:r>
        <w:t>ния цементного теста.</w:t>
      </w:r>
    </w:p>
    <w:p w:rsidR="00000000" w:rsidRDefault="009A5DE7">
      <w:pPr>
        <w:spacing w:before="120" w:after="120"/>
        <w:ind w:right="2070" w:firstLine="284"/>
      </w:pPr>
      <w:r>
        <w:t>Примечание. При использовании виброплощадок с магнитным креплением прибора диск, шайба и штанга должны изготавливаться из ненамагничиваемых материалов.</w:t>
      </w:r>
    </w:p>
    <w:p w:rsidR="00000000" w:rsidRDefault="009A5DE7">
      <w:pPr>
        <w:ind w:right="2069" w:firstLine="284"/>
        <w:jc w:val="center"/>
        <w:rPr>
          <w:b/>
        </w:rPr>
      </w:pPr>
      <w:r>
        <w:rPr>
          <w:b/>
        </w:rPr>
        <w:t>Прибор для определения жесткости бетонной смеси</w:t>
      </w:r>
    </w:p>
    <w:p w:rsidR="00000000" w:rsidRDefault="009A5DE7">
      <w:pPr>
        <w:ind w:right="2069" w:firstLine="284"/>
        <w:jc w:val="center"/>
      </w:pPr>
      <w:r>
        <w:pict>
          <v:shape id="_x0000_i1026" type="#_x0000_t75" style="width:213pt;height:329.25pt">
            <v:imagedata r:id="rId6" o:title=""/>
          </v:shape>
        </w:pict>
      </w:r>
    </w:p>
    <w:p w:rsidR="00000000" w:rsidRDefault="009A5DE7">
      <w:pPr>
        <w:ind w:right="2069" w:firstLine="284"/>
        <w:jc w:val="center"/>
      </w:pPr>
      <w:r>
        <w:t>1 - цилиндрическое кольцо с фланцем в основании; 2 - конус; 3 - кольцо-держатель с ручками; 4 - загрузочная воронка; 5 - штатив; 6 - направляющая втулка; 7 - фиксирующая втулка с зажимным винтом; 8 - диск с шестью отверстиями; 9 - стальная шайба; 10 - штанга.</w:t>
      </w:r>
    </w:p>
    <w:p w:rsidR="00000000" w:rsidRDefault="009A5DE7">
      <w:pPr>
        <w:ind w:right="2069" w:firstLine="284"/>
        <w:jc w:val="center"/>
      </w:pPr>
      <w:r>
        <w:t>Черт. 2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3. ПРОВЕДЕНИЕ ИСПЫТА</w:t>
      </w:r>
      <w:r>
        <w:rPr>
          <w:b/>
        </w:rPr>
        <w:t>НИЯ</w:t>
      </w:r>
    </w:p>
    <w:p w:rsidR="00000000" w:rsidRDefault="009A5DE7">
      <w:pPr>
        <w:ind w:right="2069" w:firstLine="284"/>
      </w:pPr>
      <w:r>
        <w:t xml:space="preserve">3.1. </w:t>
      </w:r>
      <w:r>
        <w:rPr>
          <w:spacing w:val="20"/>
        </w:rPr>
        <w:t>Определение подвижности бетонной смеси</w:t>
      </w:r>
    </w:p>
    <w:p w:rsidR="00000000" w:rsidRDefault="009A5DE7">
      <w:pPr>
        <w:ind w:right="2069" w:firstLine="284"/>
      </w:pPr>
      <w:r>
        <w:t xml:space="preserve">3.1.1. Подвижность бетонной смеси характеризуется измеряемой в сантиметрах величиной осадки конуса </w:t>
      </w:r>
      <w:r>
        <w:rPr>
          <w:i/>
        </w:rPr>
        <w:t>ОК</w:t>
      </w:r>
      <w:r>
        <w:t>, отформованного из бетонной смеси.</w:t>
      </w:r>
    </w:p>
    <w:p w:rsidR="00000000" w:rsidRDefault="009A5DE7">
      <w:pPr>
        <w:ind w:right="2069" w:firstLine="284"/>
      </w:pPr>
      <w:r>
        <w:lastRenderedPageBreak/>
        <w:t>3.1.2. Подвижность бетонной смеси с зернами заполнителя наибольшей крупности до 40 мм включительно определяют на приборе - обычном конусе.</w:t>
      </w:r>
    </w:p>
    <w:p w:rsidR="00000000" w:rsidRDefault="009A5DE7">
      <w:pPr>
        <w:ind w:right="2069" w:firstLine="284"/>
      </w:pPr>
      <w:r>
        <w:t>Для определения подвижности бетонной смеси с зернами заполнителя наибольшей крупности свыше 40 мм следует использовать увеличенный конус.</w:t>
      </w:r>
    </w:p>
    <w:p w:rsidR="00000000" w:rsidRDefault="009A5DE7">
      <w:pPr>
        <w:ind w:right="2069" w:firstLine="284"/>
      </w:pPr>
      <w:r>
        <w:t>Допускается использование обычного конуса для бето</w:t>
      </w:r>
      <w:r>
        <w:t>нной смеси с зернами заполнителя наибольшей крупности свыше 40 мм, если смесь предварительно просеяна через сито с ячейками размером 40 мм. Приведение результатов испытания таких проб к подвижности реального состава бетона производят с помощью градуировочной зависимости, устанавливаемой в соответствии с п.4 приложения 1.</w:t>
      </w:r>
    </w:p>
    <w:p w:rsidR="00000000" w:rsidRDefault="009A5DE7">
      <w:pPr>
        <w:ind w:right="2069" w:firstLine="284"/>
      </w:pPr>
      <w:r>
        <w:t>3.1.3. Определение осадки конуса бетонной смеси производят в последовательности, приведенной ниже.</w:t>
      </w:r>
    </w:p>
    <w:p w:rsidR="00000000" w:rsidRDefault="009A5DE7">
      <w:pPr>
        <w:ind w:right="2069" w:firstLine="284"/>
      </w:pPr>
      <w:r>
        <w:t>3.1.3.1. Для подготовки конуса и приспособлений к испытаниям все соприкасающиеся с бетонно</w:t>
      </w:r>
      <w:r>
        <w:t>й смесью поверхности следует очистить и протереть влажной тканью.</w:t>
      </w:r>
    </w:p>
    <w:p w:rsidR="00000000" w:rsidRDefault="009A5DE7">
      <w:pPr>
        <w:ind w:right="2069" w:firstLine="284"/>
      </w:pPr>
      <w:r>
        <w:t>3.1.3.2. Конус устанавливают на гладкий металлический лист и заполняют его бетонной смесью через воронку в три слоя одинаковой высоты.</w:t>
      </w:r>
    </w:p>
    <w:p w:rsidR="00000000" w:rsidRDefault="009A5DE7">
      <w:pPr>
        <w:ind w:right="2069" w:firstLine="284"/>
      </w:pPr>
      <w:r>
        <w:t>Каждый слой уплотняют штыкованием металлическим стержнем:</w:t>
      </w:r>
    </w:p>
    <w:p w:rsidR="00000000" w:rsidRDefault="009A5DE7">
      <w:pPr>
        <w:ind w:right="2069" w:firstLine="284"/>
      </w:pPr>
      <w:r>
        <w:t>в обычном конусе</w:t>
      </w:r>
      <w:r>
        <w:tab/>
      </w:r>
      <w:r>
        <w:tab/>
        <w:t>25 раз</w:t>
      </w:r>
    </w:p>
    <w:p w:rsidR="00000000" w:rsidRDefault="009A5DE7">
      <w:pPr>
        <w:ind w:right="2069" w:firstLine="284"/>
      </w:pPr>
      <w:r>
        <w:t>в увеличенном конусе</w:t>
      </w:r>
      <w:r>
        <w:tab/>
        <w:t>56 раз</w:t>
      </w:r>
    </w:p>
    <w:p w:rsidR="00000000" w:rsidRDefault="009A5DE7">
      <w:pPr>
        <w:ind w:right="2069" w:firstLine="284"/>
      </w:pPr>
      <w:r>
        <w:t>Конус во время наполнения и штыкования должен быть плотно прижат к листу.</w:t>
      </w:r>
    </w:p>
    <w:p w:rsidR="00000000" w:rsidRDefault="009A5DE7">
      <w:pPr>
        <w:ind w:right="2069" w:firstLine="284"/>
      </w:pPr>
      <w:r>
        <w:t>3.1.3.3. После уплотнения бетонной смеси в конусе воронку снимают и избыток смеси срезают кельмой вровень с верхними краями ко</w:t>
      </w:r>
      <w:r>
        <w:t>нуса.</w:t>
      </w:r>
    </w:p>
    <w:p w:rsidR="00000000" w:rsidRDefault="009A5DE7">
      <w:pPr>
        <w:ind w:right="2069" w:firstLine="284"/>
      </w:pPr>
      <w:r>
        <w:t>3.1.3.4. Конус плавно снимают с отформованной бетонной смеси и устанавливают рядом с ней. Время, затраченное на съем конуса, должен составлять 3-7 с.</w:t>
      </w:r>
    </w:p>
    <w:p w:rsidR="00000000" w:rsidRDefault="009A5DE7">
      <w:pPr>
        <w:ind w:right="2069" w:firstLine="284"/>
      </w:pPr>
      <w:r>
        <w:t>3.1.3.5. Осадку конуса бетонной смеси определяют, укладывая металлическую линейку ребром на верх конуса и измеряя расстояние от нижней грани линейки до верха бетонной смеси с погрешностью до 0,5 см.</w:t>
      </w:r>
    </w:p>
    <w:p w:rsidR="00000000" w:rsidRDefault="009A5DE7">
      <w:pPr>
        <w:ind w:right="2069" w:firstLine="284"/>
      </w:pPr>
      <w:r>
        <w:t>3.1.4. Если после снятия конуса бетонная смесь разваливается и приобретает форму, затрудняющую определение ее осадки, измерение не выполняют и испытание повт</w:t>
      </w:r>
      <w:r>
        <w:t>оряют на новой пробе бетонной смеси, отобранной по ГОСТ 10181.0-81.</w:t>
      </w:r>
    </w:p>
    <w:p w:rsidR="00000000" w:rsidRDefault="009A5DE7">
      <w:pPr>
        <w:ind w:right="2069" w:firstLine="284"/>
      </w:pPr>
      <w:r>
        <w:t>3.1.5. Величину осадки конуса бетонной смеси, определенную в увеличенном конусе, приводят к величине осадки обычного конуса умножением величины осадки бетона увеличенного конуса на переводной коэффициент 0,67.</w:t>
      </w:r>
    </w:p>
    <w:p w:rsidR="00000000" w:rsidRDefault="009A5DE7">
      <w:pPr>
        <w:ind w:right="2069" w:firstLine="284"/>
      </w:pPr>
      <w:r>
        <w:t>3.1.6. Осадку конуса бетонной смеси определяют дважды. Общее время испытания с начала наполнения конуса бетонной смесью при первом определении и до момента измерения осадки конуса при втором определении не должно превышать 10 мин.</w:t>
      </w:r>
    </w:p>
    <w:p w:rsidR="00000000" w:rsidRDefault="009A5DE7">
      <w:pPr>
        <w:ind w:right="2069" w:firstLine="284"/>
      </w:pPr>
      <w:r>
        <w:t>3.1</w:t>
      </w:r>
      <w:r>
        <w:t>.7. Осадку конуса бетонной смеси вычисляют с округлением до 1,0 см как среднее арифметическое результатов двух определений осадки конуса из одной пробы, отличающихся между собой не более чем:</w:t>
      </w:r>
    </w:p>
    <w:p w:rsidR="00000000" w:rsidRDefault="009A5DE7">
      <w:pPr>
        <w:ind w:right="2069" w:firstLine="284"/>
      </w:pPr>
      <w:r>
        <w:t xml:space="preserve">на 1 см при </w:t>
      </w:r>
      <w:r>
        <w:rPr>
          <w:i/>
        </w:rPr>
        <w:t>ОК</w:t>
      </w:r>
      <w:r>
        <w:t xml:space="preserve"> </w:t>
      </w:r>
      <w:r>
        <w:rPr>
          <w:position w:val="-4"/>
        </w:rPr>
        <w:object w:dxaOrig="200" w:dyaOrig="240">
          <v:shape id="_x0000_i1027" type="#_x0000_t75" style="width:9.75pt;height:12pt" o:ole="">
            <v:imagedata r:id="rId7" o:title=""/>
          </v:shape>
          <o:OLEObject Type="Embed" ProgID="Equation.2" ShapeID="_x0000_i1027" DrawAspect="Content" ObjectID="_1427201650" r:id="rId8"/>
        </w:object>
      </w:r>
      <w:r>
        <w:t>4 см;</w:t>
      </w:r>
    </w:p>
    <w:p w:rsidR="00000000" w:rsidRDefault="009A5DE7">
      <w:pPr>
        <w:ind w:right="2069" w:firstLine="284"/>
      </w:pPr>
      <w:r>
        <w:t xml:space="preserve">на 2 см при </w:t>
      </w:r>
      <w:r>
        <w:rPr>
          <w:i/>
        </w:rPr>
        <w:t>ОК</w:t>
      </w:r>
      <w:r>
        <w:t xml:space="preserve"> = 5-9 см;</w:t>
      </w:r>
    </w:p>
    <w:p w:rsidR="00000000" w:rsidRDefault="009A5DE7">
      <w:pPr>
        <w:ind w:right="2069" w:firstLine="284"/>
      </w:pPr>
      <w:r>
        <w:t xml:space="preserve">на 3 см при </w:t>
      </w:r>
      <w:r>
        <w:rPr>
          <w:i/>
        </w:rPr>
        <w:t>ОК</w:t>
      </w:r>
      <w:r>
        <w:t xml:space="preserve"> </w:t>
      </w:r>
      <w:r>
        <w:rPr>
          <w:position w:val="-4"/>
        </w:rPr>
        <w:object w:dxaOrig="200" w:dyaOrig="240">
          <v:shape id="_x0000_i1028" type="#_x0000_t75" style="width:9.75pt;height:12pt" o:ole="">
            <v:imagedata r:id="rId9" o:title=""/>
          </v:shape>
          <o:OLEObject Type="Embed" ProgID="Equation.2" ShapeID="_x0000_i1028" DrawAspect="Content" ObjectID="_1427201651" r:id="rId10"/>
        </w:object>
      </w:r>
      <w:r>
        <w:t>10 см.</w:t>
      </w:r>
    </w:p>
    <w:p w:rsidR="00000000" w:rsidRDefault="009A5DE7">
      <w:pPr>
        <w:ind w:right="2069" w:firstLine="284"/>
      </w:pPr>
      <w:r>
        <w:t>При большем расхождении результатов определение повторяют на новой пробе, отобранной по ГОСТ 10181.0-81.</w:t>
      </w:r>
    </w:p>
    <w:p w:rsidR="00000000" w:rsidRDefault="009A5DE7">
      <w:pPr>
        <w:ind w:right="2069" w:firstLine="284"/>
      </w:pPr>
      <w:r>
        <w:t>3.1.8. Результаты испытания должны быть занесены в журнал, в котором указывают:</w:t>
      </w:r>
    </w:p>
    <w:p w:rsidR="00000000" w:rsidRDefault="009A5DE7">
      <w:pPr>
        <w:ind w:right="2069" w:firstLine="284"/>
      </w:pPr>
      <w:r>
        <w:t>дату и время испытани</w:t>
      </w:r>
      <w:r>
        <w:t>я;</w:t>
      </w:r>
    </w:p>
    <w:p w:rsidR="00000000" w:rsidRDefault="009A5DE7">
      <w:pPr>
        <w:ind w:right="2069" w:firstLine="284"/>
      </w:pPr>
      <w:r>
        <w:t>место отбора пробы;</w:t>
      </w:r>
    </w:p>
    <w:p w:rsidR="00000000" w:rsidRDefault="009A5DE7">
      <w:pPr>
        <w:ind w:right="2069" w:firstLine="284"/>
      </w:pPr>
      <w:r>
        <w:t>марку и вид бетона, изготовляемого из испытуемой смеси;</w:t>
      </w:r>
    </w:p>
    <w:p w:rsidR="00000000" w:rsidRDefault="009A5DE7">
      <w:pPr>
        <w:ind w:right="2069" w:firstLine="284"/>
      </w:pPr>
      <w:r>
        <w:t>результаты частных испытаний;</w:t>
      </w:r>
    </w:p>
    <w:p w:rsidR="00000000" w:rsidRDefault="009A5DE7">
      <w:pPr>
        <w:ind w:right="2069" w:firstLine="284"/>
      </w:pPr>
      <w:r>
        <w:t>среднеарифметический результат.</w:t>
      </w:r>
    </w:p>
    <w:p w:rsidR="00000000" w:rsidRDefault="009A5DE7">
      <w:pPr>
        <w:ind w:right="2069" w:firstLine="284"/>
      </w:pPr>
      <w:r>
        <w:t>3.1.9. Если вычисленная в соответствии с указаниями, приведенными в п.3.1.7, осадка конуса бетонной смеси будет равна нулю, смесь признают не обладающей подвижностью, и она должна характеризоваться жесткостью, определяемой в соответствии с требованиями, приведенными в п. 3.2.</w:t>
      </w:r>
    </w:p>
    <w:p w:rsidR="00000000" w:rsidRDefault="009A5DE7">
      <w:pPr>
        <w:ind w:right="2069" w:firstLine="284"/>
        <w:rPr>
          <w:spacing w:val="20"/>
        </w:rPr>
      </w:pPr>
      <w:r>
        <w:t xml:space="preserve">3.2. </w:t>
      </w:r>
      <w:r>
        <w:rPr>
          <w:spacing w:val="20"/>
        </w:rPr>
        <w:t>Определение жесткости бетонной смеси</w:t>
      </w:r>
    </w:p>
    <w:p w:rsidR="00000000" w:rsidRDefault="009A5DE7">
      <w:pPr>
        <w:ind w:right="2069" w:firstLine="284"/>
      </w:pPr>
      <w:r>
        <w:t>3.2.1. Жесткость бетонной смеси Ж характеризуется вр</w:t>
      </w:r>
      <w:r>
        <w:t>еменем вибрации (в секундах), необходимых для выравнивания и уплотнения предварительно отформованного конуса бетонной смеси в приборе для определения жесткости.</w:t>
      </w:r>
    </w:p>
    <w:p w:rsidR="00000000" w:rsidRDefault="009A5DE7">
      <w:pPr>
        <w:ind w:right="2069" w:firstLine="284"/>
      </w:pPr>
      <w:r>
        <w:t>3.2.2. Жесткость бетонной смеси с зернами заполнителя наибольшей крупностью до 40 мм включительно определяют на лабораторной виброплощадке, параметры которой приведены в п. 2.4.</w:t>
      </w:r>
    </w:p>
    <w:p w:rsidR="00000000" w:rsidRDefault="009A5DE7">
      <w:pPr>
        <w:ind w:right="2069" w:firstLine="284"/>
      </w:pPr>
      <w:r>
        <w:t>3.2.3. Жесткость бетонной смеси определяют в последовательности, приведенной ниже.</w:t>
      </w:r>
    </w:p>
    <w:p w:rsidR="00000000" w:rsidRDefault="009A5DE7">
      <w:pPr>
        <w:ind w:right="2069" w:firstLine="284"/>
      </w:pPr>
      <w:r>
        <w:t>3.2.4. Перед испытанием прибор и приспособления должны быть подготовлены согласно требован</w:t>
      </w:r>
      <w:r>
        <w:t>иям, приведенным в п.3.1.3.1.</w:t>
      </w:r>
    </w:p>
    <w:p w:rsidR="00000000" w:rsidRDefault="009A5DE7" w:rsidP="009A5DE7">
      <w:pPr>
        <w:numPr>
          <w:ilvl w:val="0"/>
          <w:numId w:val="1"/>
        </w:numPr>
        <w:ind w:left="0" w:right="2069" w:firstLine="284"/>
      </w:pPr>
      <w:r>
        <w:t>Прибор на виброплощадке устанавливают и собирают в следу</w:t>
      </w:r>
      <w:r>
        <w:softHyphen/>
        <w:t>ющем порядке: устанавливают и жестко закрепляют цилиндри</w:t>
      </w:r>
      <w:r>
        <w:softHyphen/>
        <w:t>чес</w:t>
      </w:r>
      <w:r>
        <w:softHyphen/>
        <w:t>кое кольцо прибора 1, в которое вставляют конус 2 и закрепляют его руч</w:t>
      </w:r>
      <w:r>
        <w:softHyphen/>
        <w:t>ками 3, заводя их в пазы кольца, после чего устанавливают воронку 4.</w:t>
      </w:r>
    </w:p>
    <w:p w:rsidR="00000000" w:rsidRDefault="009A5DE7" w:rsidP="009A5DE7">
      <w:pPr>
        <w:numPr>
          <w:ilvl w:val="0"/>
          <w:numId w:val="2"/>
        </w:numPr>
        <w:ind w:left="0" w:right="2069" w:firstLine="284"/>
      </w:pPr>
      <w:r>
        <w:t>Заполнение конуса прибора бетонной смесью, уплотнение ее и снятие конуса с отформованной смеси производят согласно пп. 3.1.3.2-3.1.3.4.</w:t>
      </w:r>
    </w:p>
    <w:p w:rsidR="00000000" w:rsidRDefault="009A5DE7" w:rsidP="009A5DE7">
      <w:pPr>
        <w:numPr>
          <w:ilvl w:val="0"/>
          <w:numId w:val="2"/>
        </w:numPr>
        <w:ind w:left="0" w:right="2069" w:firstLine="284"/>
      </w:pPr>
      <w:r>
        <w:t>Поворотом штатива 5 диск 8 устанавливают над отформованным конусом бетонной смеси и плав</w:t>
      </w:r>
      <w:r>
        <w:t>но опускают его на поверхность конуса смеси. Штатив закрепляют в фиксирующей втулке 7 зажимным винтом.</w:t>
      </w:r>
    </w:p>
    <w:p w:rsidR="00000000" w:rsidRDefault="009A5DE7">
      <w:pPr>
        <w:ind w:right="2069" w:firstLine="284"/>
      </w:pPr>
      <w:r>
        <w:t>Затем одновременно включают виброплощадку и секундомер и наблюдают за выравниванием и уплотнением бетонной смеси. Вибрирование производят до тех пор, пока не начнется выделение цементного теста из любых двух отверстий диска. В этот момент выключают секундомер и вибратор. Полученное время (в секундах) характеризует жесткость бетонной смеси.</w:t>
      </w:r>
    </w:p>
    <w:p w:rsidR="00000000" w:rsidRDefault="009A5DE7">
      <w:pPr>
        <w:ind w:right="2069" w:firstLine="284"/>
      </w:pPr>
      <w:r>
        <w:t>3.2.8. Жесткость бетонной смеси определяют дважды. Общее время испы</w:t>
      </w:r>
      <w:r>
        <w:t>тания с начала заполнения конуса бетонной смесью в установленном приборе при первом определении и до окончания определения жесткости при втором определении не должно превышать 15 мин.</w:t>
      </w:r>
    </w:p>
    <w:p w:rsidR="00000000" w:rsidRDefault="009A5DE7">
      <w:pPr>
        <w:ind w:right="2069" w:firstLine="284"/>
      </w:pPr>
      <w:r>
        <w:t>3.2.9. Жесткость бетонной смеси вычисляют с округлением до 1 с как среднее арифметическое результатов двух определений жесткости из одной пробы смеси, отличающихся между собой не более чем на 20 %. При большем расхождении результатов определение повторяют на новой пробе, отобранной по ГОСТ 10181.0-81.</w:t>
      </w:r>
    </w:p>
    <w:p w:rsidR="00000000" w:rsidRDefault="009A5DE7">
      <w:pPr>
        <w:ind w:right="2069" w:firstLine="284"/>
      </w:pPr>
      <w:r>
        <w:t>3.2.10. Для определения ж</w:t>
      </w:r>
      <w:r>
        <w:t>есткости бетонной смеси допускается использование других приборов, точность и чувствительность которых удовлетворяет требованиям приложения 1. Для каждого прибора устанавливается градуировочная зависимость для приведения полученных результатов к показателю жесткости по стандартному методу в соответствии с этим приложением.</w:t>
      </w:r>
    </w:p>
    <w:p w:rsidR="00000000" w:rsidRDefault="009A5DE7">
      <w:pPr>
        <w:ind w:right="2069" w:firstLine="284"/>
      </w:pPr>
      <w:r>
        <w:t>Приборы, применение которых допускается без построения градуировочных зависимостей с использованием усредненных переводных коэффициентов, приведены в рекомендуемых приложениях 2 и 3.</w:t>
      </w:r>
    </w:p>
    <w:p w:rsidR="00000000" w:rsidRDefault="009A5DE7">
      <w:pPr>
        <w:ind w:right="2069" w:firstLine="284"/>
      </w:pPr>
      <w:r>
        <w:t>3.2.</w:t>
      </w:r>
      <w:r>
        <w:t>11. Результаты испытаний должны быть занесены в журнал, где указываются данные согласно требованиям, приведенным в п. 3.1.8.</w:t>
      </w:r>
    </w:p>
    <w:p w:rsidR="00000000" w:rsidRDefault="009A5DE7">
      <w:pPr>
        <w:ind w:right="2069" w:firstLine="284"/>
        <w:jc w:val="right"/>
      </w:pP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ОПРЕДЕЛЕНИЕ ТОЧНОСТИ, ЧУВСТВИТЕЛЬНОСТИ И ГРАДУИРОВКА ПРИБОРОВ ДЛЯ ОПРЕДЕЛЕНИЯ ЖЕСТКОСТИ БЕТОННОЙ СМЕСИ</w:t>
      </w:r>
    </w:p>
    <w:p w:rsidR="00000000" w:rsidRDefault="009A5DE7">
      <w:pPr>
        <w:ind w:right="2069" w:firstLine="284"/>
      </w:pPr>
      <w:r>
        <w:t>1. Определение точности, чувствительности приборов, а также их градуировку для определения жесткости бетонной смеси проводят на двух составах, отличающихся жесткостью не менее чем на 10 с.</w:t>
      </w:r>
    </w:p>
    <w:p w:rsidR="00000000" w:rsidRDefault="009A5DE7">
      <w:pPr>
        <w:ind w:right="2069" w:firstLine="284"/>
      </w:pPr>
      <w:r>
        <w:t>2. Точность приборов характеризуется отношением средних коэффициенто</w:t>
      </w:r>
      <w:r>
        <w:t xml:space="preserve">в вариации показателей жесткости в пяти параллельных испытаниях бетонной смеси двух составов (с различным водосодержанием), испытанных проверяемым и стандартным прибором. Средний коэффициент вариации </w:t>
      </w:r>
      <w:r>
        <w:rPr>
          <w:position w:val="-4"/>
        </w:rPr>
        <w:object w:dxaOrig="260" w:dyaOrig="279">
          <v:shape id="_x0000_i1029" type="#_x0000_t75" style="width:12.75pt;height:14.25pt" o:ole="">
            <v:imagedata r:id="rId11" o:title=""/>
          </v:shape>
          <o:OLEObject Type="Embed" ProgID="Equation.2" ShapeID="_x0000_i1029" DrawAspect="Content" ObjectID="_1427201652" r:id="rId12"/>
        </w:object>
      </w:r>
      <w:r>
        <w:t>рассчитывается по формуле</w:t>
      </w:r>
    </w:p>
    <w:p w:rsidR="00000000" w:rsidRDefault="009A5DE7">
      <w:pPr>
        <w:ind w:right="2069" w:firstLine="284"/>
        <w:jc w:val="center"/>
      </w:pPr>
      <w:r>
        <w:rPr>
          <w:position w:val="-24"/>
        </w:rPr>
        <w:object w:dxaOrig="1480" w:dyaOrig="720">
          <v:shape id="_x0000_i1030" type="#_x0000_t75" style="width:74.25pt;height:36pt" o:ole="">
            <v:imagedata r:id="rId13" o:title=""/>
          </v:shape>
          <o:OLEObject Type="Embed" ProgID="Equation.2" ShapeID="_x0000_i1030" DrawAspect="Content" ObjectID="_1427201653" r:id="rId14"/>
        </w:object>
      </w:r>
      <w:r>
        <w:t>,</w:t>
      </w:r>
      <w:r>
        <w:tab/>
      </w:r>
      <w:r>
        <w:tab/>
        <w:t>(1)</w:t>
      </w:r>
    </w:p>
    <w:p w:rsidR="00000000" w:rsidRDefault="009A5DE7">
      <w:pPr>
        <w:ind w:right="2069" w:firstLine="284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</w:t>
      </w:r>
      <w:r>
        <w:t xml:space="preserve"> коэффициенты вариации показателя жесткости двух испытанных составов, рассчитывается по формуле</w:t>
      </w:r>
    </w:p>
    <w:p w:rsidR="00000000" w:rsidRDefault="009A5DE7">
      <w:pPr>
        <w:ind w:right="2069" w:firstLine="284"/>
        <w:jc w:val="center"/>
      </w:pPr>
      <w:r>
        <w:rPr>
          <w:position w:val="-30"/>
        </w:rPr>
        <w:object w:dxaOrig="1600" w:dyaOrig="740">
          <v:shape id="_x0000_i1031" type="#_x0000_t75" style="width:80.25pt;height:36.75pt" o:ole="">
            <v:imagedata r:id="rId15" o:title=""/>
          </v:shape>
          <o:OLEObject Type="Embed" ProgID="Equation.2" ShapeID="_x0000_i1031" DrawAspect="Content" ObjectID="_1427201654" r:id="rId16"/>
        </w:object>
      </w:r>
      <w:r>
        <w:t>,</w:t>
      </w:r>
      <w:r>
        <w:tab/>
      </w:r>
      <w:r>
        <w:tab/>
      </w:r>
      <w:r>
        <w:tab/>
        <w:t>(2)</w:t>
      </w:r>
    </w:p>
    <w:p w:rsidR="00000000" w:rsidRDefault="009A5DE7">
      <w:pPr>
        <w:ind w:right="2069" w:firstLine="284"/>
        <w:jc w:val="center"/>
      </w:pPr>
      <w:r>
        <w:t xml:space="preserve">где </w:t>
      </w:r>
      <w:r>
        <w:rPr>
          <w:position w:val="-22"/>
        </w:rPr>
        <w:object w:dxaOrig="1359" w:dyaOrig="980">
          <v:shape id="_x0000_i1032" type="#_x0000_t75" style="width:68.25pt;height:48.75pt" o:ole="">
            <v:imagedata r:id="rId17" o:title=""/>
          </v:shape>
          <o:OLEObject Type="Embed" ProgID="Equation.2" ShapeID="_x0000_i1032" DrawAspect="Content" ObjectID="_1427201655" r:id="rId18"/>
        </w:object>
      </w:r>
      <w:r>
        <w:t>;</w:t>
      </w:r>
      <w:r>
        <w:tab/>
      </w:r>
      <w:r>
        <w:tab/>
      </w:r>
      <w:r>
        <w:tab/>
        <w:t>(3)</w:t>
      </w:r>
    </w:p>
    <w:p w:rsidR="00000000" w:rsidRDefault="009A5DE7">
      <w:pPr>
        <w:ind w:right="2069" w:firstLine="284"/>
        <w:jc w:val="center"/>
      </w:pPr>
      <w:r>
        <w:rPr>
          <w:position w:val="-24"/>
        </w:rPr>
        <w:object w:dxaOrig="2760" w:dyaOrig="1080">
          <v:shape id="_x0000_i1033" type="#_x0000_t75" style="width:138pt;height:54pt" o:ole="">
            <v:imagedata r:id="rId19" o:title=""/>
          </v:shape>
          <o:OLEObject Type="Embed" ProgID="Equation.2" ShapeID="_x0000_i1033" DrawAspect="Content" ObjectID="_1427201656" r:id="rId20"/>
        </w:object>
      </w:r>
      <w:r>
        <w:t>;</w:t>
      </w:r>
      <w:r>
        <w:tab/>
        <w:t>(4)</w:t>
      </w:r>
    </w:p>
    <w:p w:rsidR="00000000" w:rsidRDefault="009A5DE7">
      <w:pPr>
        <w:ind w:left="709" w:right="2069" w:hanging="425"/>
      </w:pPr>
      <w:r>
        <w:rPr>
          <w:i/>
        </w:rPr>
        <w:t>Ж</w:t>
      </w:r>
      <w:r>
        <w:rPr>
          <w:i/>
          <w:vertAlign w:val="subscript"/>
          <w:lang w:val="en-US"/>
        </w:rPr>
        <w:t>ij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- </w:t>
      </w:r>
      <w:r>
        <w:t>результат определения п</w:t>
      </w:r>
      <w:r>
        <w:t xml:space="preserve">оказателя жесткости бетонной смеси в </w:t>
      </w:r>
      <w:r>
        <w:rPr>
          <w:i/>
          <w:lang w:val="en-US"/>
        </w:rPr>
        <w:t>i</w:t>
      </w:r>
      <w:r>
        <w:rPr>
          <w:lang w:val="en-US"/>
        </w:rPr>
        <w:t>-</w:t>
      </w:r>
      <w:r>
        <w:t>й пробе</w:t>
      </w:r>
      <w:r>
        <w:rPr>
          <w:i/>
        </w:rPr>
        <w:t xml:space="preserve"> </w:t>
      </w:r>
      <w:r>
        <w:rPr>
          <w:i/>
          <w:lang w:val="en-US"/>
        </w:rPr>
        <w:t>j</w:t>
      </w:r>
      <w:r>
        <w:rPr>
          <w:lang w:val="en-US"/>
        </w:rPr>
        <w:t>-</w:t>
      </w:r>
      <w:r>
        <w:t>го состава (</w:t>
      </w:r>
      <w:r>
        <w:rPr>
          <w:i/>
          <w:lang w:val="en-US"/>
        </w:rPr>
        <w:t>i</w:t>
      </w:r>
      <w:r>
        <w:rPr>
          <w:lang w:val="en-US"/>
        </w:rPr>
        <w:t xml:space="preserve">=1 ...... 5, </w:t>
      </w:r>
      <w:r>
        <w:rPr>
          <w:i/>
          <w:lang w:val="en-US"/>
        </w:rPr>
        <w:t>j</w:t>
      </w:r>
      <w:r>
        <w:rPr>
          <w:lang w:val="en-US"/>
        </w:rPr>
        <w:t>=1,2)</w:t>
      </w:r>
      <w:r>
        <w:t>;</w:t>
      </w:r>
    </w:p>
    <w:p w:rsidR="00000000" w:rsidRDefault="009A5DE7">
      <w:pPr>
        <w:ind w:left="709" w:right="2069" w:hanging="567"/>
      </w:pPr>
      <w:r>
        <w:rPr>
          <w:position w:val="-14"/>
        </w:rPr>
        <w:object w:dxaOrig="400" w:dyaOrig="380">
          <v:shape id="_x0000_i1034" type="#_x0000_t75" style="width:20.25pt;height:18.75pt" o:ole="">
            <v:imagedata r:id="rId21" o:title=""/>
          </v:shape>
          <o:OLEObject Type="Embed" ProgID="Equation.2" ShapeID="_x0000_i1034" DrawAspect="Content" ObjectID="_1427201657" r:id="rId22"/>
        </w:object>
      </w:r>
      <w:r>
        <w:t xml:space="preserve">- средний показатель жесткости бетонной смеси </w:t>
      </w:r>
      <w:r>
        <w:rPr>
          <w:i/>
          <w:lang w:val="en-US"/>
        </w:rPr>
        <w:t>j</w:t>
      </w:r>
      <w:r>
        <w:rPr>
          <w:lang w:val="en-US"/>
        </w:rPr>
        <w:t>-</w:t>
      </w:r>
      <w:r>
        <w:t>го состава;</w:t>
      </w:r>
    </w:p>
    <w:p w:rsidR="00000000" w:rsidRDefault="009A5DE7">
      <w:pPr>
        <w:ind w:left="709" w:right="2069" w:hanging="425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j</w:t>
      </w:r>
      <w:r>
        <w:rPr>
          <w:lang w:val="en-US"/>
        </w:rPr>
        <w:t xml:space="preserve"> - </w:t>
      </w:r>
      <w:r>
        <w:t>среднеквадратическое отклонение показателя жесткости бетонной смеси</w:t>
      </w:r>
      <w:r>
        <w:rPr>
          <w:i/>
        </w:rPr>
        <w:t xml:space="preserve"> </w:t>
      </w:r>
      <w:r>
        <w:rPr>
          <w:i/>
          <w:lang w:val="en-US"/>
        </w:rPr>
        <w:t>j</w:t>
      </w:r>
      <w:r>
        <w:t>-го состава.</w:t>
      </w:r>
    </w:p>
    <w:p w:rsidR="00000000" w:rsidRDefault="009A5DE7">
      <w:pPr>
        <w:ind w:right="2069" w:firstLine="284"/>
      </w:pPr>
      <w:r>
        <w:t>Точность проверяемого прибора признается удовлетворительной, если выполняется соотношение</w:t>
      </w:r>
    </w:p>
    <w:p w:rsidR="00000000" w:rsidRDefault="009A5DE7">
      <w:pPr>
        <w:ind w:right="2069" w:firstLine="284"/>
        <w:jc w:val="center"/>
      </w:pPr>
      <w:r>
        <w:rPr>
          <w:position w:val="-28"/>
        </w:rPr>
        <w:object w:dxaOrig="920" w:dyaOrig="720">
          <v:shape id="_x0000_i1035" type="#_x0000_t75" style="width:45.75pt;height:36pt" o:ole="">
            <v:imagedata r:id="rId23" o:title=""/>
          </v:shape>
          <o:OLEObject Type="Embed" ProgID="Equation.2" ShapeID="_x0000_i1035" DrawAspect="Content" ObjectID="_1427201658" r:id="rId24"/>
        </w:object>
      </w:r>
      <w:r>
        <w:tab/>
      </w:r>
      <w:r>
        <w:tab/>
      </w:r>
      <w:r>
        <w:tab/>
        <w:t>(5)</w:t>
      </w:r>
    </w:p>
    <w:p w:rsidR="00000000" w:rsidRDefault="009A5DE7">
      <w:pPr>
        <w:ind w:right="2069" w:firstLine="284"/>
      </w:pPr>
      <w:r>
        <w:t xml:space="preserve">где </w:t>
      </w:r>
      <w:r>
        <w:rPr>
          <w:position w:val="-10"/>
        </w:rPr>
        <w:object w:dxaOrig="260" w:dyaOrig="340">
          <v:shape id="_x0000_i1036" type="#_x0000_t75" style="width:12.75pt;height:17.25pt" o:ole="">
            <v:imagedata r:id="rId25" o:title=""/>
          </v:shape>
          <o:OLEObject Type="Embed" ProgID="Equation.2" ShapeID="_x0000_i1036" DrawAspect="Content" ObjectID="_1427201659" r:id="rId26"/>
        </w:object>
      </w:r>
      <w:r>
        <w:t xml:space="preserve">и </w:t>
      </w:r>
      <w:r>
        <w:rPr>
          <w:position w:val="-10"/>
        </w:rPr>
        <w:object w:dxaOrig="260" w:dyaOrig="340">
          <v:shape id="_x0000_i1037" type="#_x0000_t75" style="width:12.75pt;height:17.25pt" o:ole="">
            <v:imagedata r:id="rId27" o:title=""/>
          </v:shape>
          <o:OLEObject Type="Embed" ProgID="Equation.2" ShapeID="_x0000_i1037" DrawAspect="Content" ObjectID="_1427201660" r:id="rId28"/>
        </w:object>
      </w:r>
      <w:r>
        <w:t xml:space="preserve"> - средние коэффициенты вариации показателя жесткости при испытании проверяемым и станд</w:t>
      </w:r>
      <w:r>
        <w:t>артным приборами рассчитанные по формуле (1)</w:t>
      </w:r>
    </w:p>
    <w:p w:rsidR="00000000" w:rsidRDefault="009A5DE7">
      <w:pPr>
        <w:ind w:right="2069" w:firstLine="284"/>
      </w:pPr>
      <w:r>
        <w:t>3</w:t>
      </w:r>
      <w:r>
        <w:rPr>
          <w:lang w:val="en-US"/>
        </w:rPr>
        <w:t>.</w:t>
      </w:r>
      <w:r>
        <w:t xml:space="preserve"> Чувствительность прибора </w:t>
      </w:r>
      <w:r>
        <w:rPr>
          <w:i/>
        </w:rPr>
        <w:t>Х</w:t>
      </w:r>
      <w:r>
        <w:t xml:space="preserve"> характеризуется относительным изменением жесткости при изменении водосодержания бетонной смеси рассчитываемым по формуле</w:t>
      </w:r>
    </w:p>
    <w:p w:rsidR="00000000" w:rsidRDefault="009A5DE7">
      <w:pPr>
        <w:ind w:right="2069" w:firstLine="284"/>
        <w:jc w:val="center"/>
        <w:rPr>
          <w:lang w:val="en-US"/>
        </w:rPr>
      </w:pPr>
      <w:r>
        <w:rPr>
          <w:position w:val="-28"/>
          <w:lang w:val="en-US"/>
        </w:rPr>
        <w:object w:dxaOrig="2760" w:dyaOrig="680">
          <v:shape id="_x0000_i1038" type="#_x0000_t75" style="width:138pt;height:33.75pt" o:ole="">
            <v:imagedata r:id="rId29" o:title=""/>
          </v:shape>
          <o:OLEObject Type="Embed" ProgID="Equation.2" ShapeID="_x0000_i1038" DrawAspect="Content" ObjectID="_1427201661" r:id="rId30"/>
        </w:object>
      </w:r>
      <w:r>
        <w:rPr>
          <w:lang w:val="en-US"/>
        </w:rPr>
        <w:tab/>
        <w:t>(6)</w:t>
      </w:r>
    </w:p>
    <w:p w:rsidR="00000000" w:rsidRDefault="009A5DE7">
      <w:pPr>
        <w:ind w:right="2069" w:firstLine="284"/>
        <w:rPr>
          <w:lang w:val="en-US"/>
        </w:rPr>
      </w:pPr>
      <w:r>
        <w:t xml:space="preserve">где </w:t>
      </w:r>
      <w:r>
        <w:rPr>
          <w:i/>
        </w:rPr>
        <w:t>В</w:t>
      </w:r>
      <w:r>
        <w:rPr>
          <w:i/>
          <w:vertAlign w:val="subscript"/>
        </w:rPr>
        <w:t>1</w:t>
      </w:r>
      <w:r>
        <w:t xml:space="preserve"> и </w:t>
      </w:r>
      <w:r>
        <w:rPr>
          <w:i/>
        </w:rPr>
        <w:t>В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>- водосодержание бетонной смеси двух испытанных составов, л/м</w:t>
      </w:r>
      <w:r>
        <w:rPr>
          <w:vertAlign w:val="superscript"/>
        </w:rPr>
        <w:t>3</w:t>
      </w:r>
      <w:r>
        <w:t>.</w:t>
      </w:r>
    </w:p>
    <w:p w:rsidR="00000000" w:rsidRDefault="009A5DE7">
      <w:pPr>
        <w:ind w:right="2069" w:firstLine="709"/>
      </w:pPr>
      <w:r>
        <w:rPr>
          <w:i/>
        </w:rPr>
        <w:t>Ж</w:t>
      </w:r>
      <w:r>
        <w:rPr>
          <w:i/>
          <w:vertAlign w:val="subscript"/>
        </w:rPr>
        <w:t>1</w:t>
      </w:r>
      <w:r>
        <w:t xml:space="preserve"> и </w:t>
      </w:r>
      <w:r>
        <w:rPr>
          <w:i/>
        </w:rPr>
        <w:t>Ж</w:t>
      </w:r>
      <w:r>
        <w:rPr>
          <w:i/>
          <w:vertAlign w:val="subscript"/>
        </w:rPr>
        <w:t>2</w:t>
      </w:r>
      <w:r>
        <w:t xml:space="preserve"> - средние показатели жесткости двух испытанных составов, рассчитанные по формуле (3).</w:t>
      </w:r>
    </w:p>
    <w:p w:rsidR="00000000" w:rsidRDefault="009A5DE7">
      <w:pPr>
        <w:ind w:right="2069" w:firstLine="284"/>
      </w:pPr>
      <w:r>
        <w:t>Чувствительность проверяемого прибора признается удовлет</w:t>
      </w:r>
      <w:r>
        <w:softHyphen/>
        <w:t>во</w:t>
      </w:r>
      <w:r>
        <w:softHyphen/>
        <w:t>ри</w:t>
      </w:r>
      <w:r>
        <w:softHyphen/>
        <w:t>тель</w:t>
      </w:r>
      <w:r>
        <w:softHyphen/>
        <w:t>ной, если выполняется соотношение</w:t>
      </w:r>
    </w:p>
    <w:p w:rsidR="00000000" w:rsidRDefault="009A5DE7">
      <w:pPr>
        <w:ind w:right="2069" w:firstLine="284"/>
        <w:jc w:val="center"/>
      </w:pPr>
      <w:r>
        <w:rPr>
          <w:position w:val="-28"/>
          <w:lang w:val="en-US"/>
        </w:rPr>
        <w:object w:dxaOrig="920" w:dyaOrig="680">
          <v:shape id="_x0000_i1039" type="#_x0000_t75" style="width:45.75pt;height:33.75pt" o:ole="">
            <v:imagedata r:id="rId31" o:title=""/>
          </v:shape>
          <o:OLEObject Type="Embed" ProgID="Equation.2" ShapeID="_x0000_i1039" DrawAspect="Content" ObjectID="_1427201662" r:id="rId32"/>
        </w:object>
      </w:r>
      <w:r>
        <w:tab/>
      </w:r>
      <w:r>
        <w:tab/>
      </w:r>
      <w:r>
        <w:tab/>
        <w:t>(7)</w:t>
      </w:r>
    </w:p>
    <w:p w:rsidR="00000000" w:rsidRDefault="009A5DE7">
      <w:pPr>
        <w:ind w:right="2069" w:firstLine="284"/>
        <w:rPr>
          <w:lang w:val="en-US"/>
        </w:rPr>
      </w:pPr>
      <w:r>
        <w:t xml:space="preserve">где </w:t>
      </w:r>
      <w:r>
        <w:rPr>
          <w:i/>
        </w:rPr>
        <w:t>Х</w:t>
      </w:r>
      <w:r>
        <w:rPr>
          <w:i/>
          <w:vertAlign w:val="subscript"/>
        </w:rPr>
        <w:t>п</w:t>
      </w:r>
      <w:r>
        <w:t xml:space="preserve"> и </w:t>
      </w:r>
      <w:r>
        <w:rPr>
          <w:i/>
        </w:rPr>
        <w:t>Х</w:t>
      </w:r>
      <w:r>
        <w:rPr>
          <w:i/>
          <w:vertAlign w:val="subscript"/>
        </w:rPr>
        <w:t>с</w:t>
      </w:r>
      <w:r>
        <w:t xml:space="preserve"> - чувствительность проверяемого и стандартного приборов, рассчитанная по формуле (6).</w:t>
      </w:r>
    </w:p>
    <w:p w:rsidR="00000000" w:rsidRDefault="009A5DE7">
      <w:pPr>
        <w:ind w:right="2069" w:firstLine="284"/>
        <w:rPr>
          <w:lang w:val="en-US"/>
        </w:rPr>
      </w:pPr>
      <w:r>
        <w:t>4. Проверяемый прибор, удовлетворяющий требованиям пп. 2 и 3 настоящего приложения, градуируется путем установления зависимости между показателями жесткости по проверяемому и стандартному прибору следующего вида</w:t>
      </w:r>
    </w:p>
    <w:p w:rsidR="00000000" w:rsidRDefault="009A5DE7">
      <w:pPr>
        <w:ind w:right="2069" w:firstLine="284"/>
        <w:jc w:val="center"/>
      </w:pPr>
      <w:r>
        <w:rPr>
          <w:i/>
        </w:rPr>
        <w:t>Ж</w:t>
      </w:r>
      <w:r>
        <w:rPr>
          <w:i/>
          <w:vertAlign w:val="subscript"/>
        </w:rPr>
        <w:t>с</w:t>
      </w:r>
      <w:r>
        <w:rPr>
          <w:i/>
        </w:rPr>
        <w:t>=Б</w:t>
      </w:r>
      <w:r>
        <w:rPr>
          <w:i/>
          <w:vertAlign w:val="subscript"/>
        </w:rPr>
        <w:t>о</w:t>
      </w:r>
      <w:r>
        <w:rPr>
          <w:i/>
        </w:rPr>
        <w:t>+Б</w:t>
      </w:r>
      <w:r>
        <w:rPr>
          <w:i/>
          <w:vertAlign w:val="subscript"/>
        </w:rPr>
        <w:t>1</w:t>
      </w:r>
      <w:r>
        <w:rPr>
          <w:i/>
        </w:rPr>
        <w:t>Ж</w:t>
      </w:r>
      <w:r>
        <w:rPr>
          <w:i/>
          <w:vertAlign w:val="subscript"/>
        </w:rPr>
        <w:t>п</w:t>
      </w:r>
      <w:r>
        <w:tab/>
      </w:r>
      <w:r>
        <w:tab/>
      </w:r>
      <w:r>
        <w:tab/>
        <w:t>(8)</w:t>
      </w:r>
    </w:p>
    <w:p w:rsidR="00000000" w:rsidRDefault="009A5DE7">
      <w:pPr>
        <w:ind w:right="2069" w:firstLine="284"/>
        <w:rPr>
          <w:lang w:val="en-US"/>
        </w:rPr>
      </w:pPr>
      <w:r>
        <w:t>Коэффициенты Б</w:t>
      </w:r>
      <w:r>
        <w:rPr>
          <w:vertAlign w:val="subscript"/>
        </w:rPr>
        <w:t>о</w:t>
      </w:r>
      <w:r>
        <w:t xml:space="preserve"> и Б</w:t>
      </w:r>
      <w:r>
        <w:rPr>
          <w:vertAlign w:val="subscript"/>
        </w:rPr>
        <w:t>1</w:t>
      </w:r>
      <w:r>
        <w:t xml:space="preserve"> рассчитывают по формулам</w:t>
      </w:r>
    </w:p>
    <w:p w:rsidR="00000000" w:rsidRDefault="009A5DE7">
      <w:pPr>
        <w:ind w:right="2069" w:firstLine="284"/>
        <w:jc w:val="center"/>
      </w:pPr>
      <w:r>
        <w:rPr>
          <w:position w:val="-28"/>
        </w:rPr>
        <w:object w:dxaOrig="1660" w:dyaOrig="700">
          <v:shape id="_x0000_i1040" type="#_x0000_t75" style="width:83.25pt;height:35.25pt" o:ole="">
            <v:imagedata r:id="rId33" o:title=""/>
          </v:shape>
          <o:OLEObject Type="Embed" ProgID="Equation.2" ShapeID="_x0000_i1040" DrawAspect="Content" ObjectID="_1427201663" r:id="rId34"/>
        </w:object>
      </w:r>
      <w:r>
        <w:t>;</w:t>
      </w:r>
      <w:r>
        <w:tab/>
      </w:r>
      <w:r>
        <w:tab/>
        <w:t>(9)</w:t>
      </w:r>
    </w:p>
    <w:p w:rsidR="00000000" w:rsidRDefault="009A5DE7">
      <w:pPr>
        <w:ind w:right="2069" w:firstLine="284"/>
        <w:jc w:val="center"/>
      </w:pPr>
      <w:r>
        <w:rPr>
          <w:position w:val="-10"/>
        </w:rPr>
        <w:object w:dxaOrig="1820" w:dyaOrig="340">
          <v:shape id="_x0000_i1041" type="#_x0000_t75" style="width:90.75pt;height:17.25pt" o:ole="">
            <v:imagedata r:id="rId35" o:title=""/>
          </v:shape>
          <o:OLEObject Type="Embed" ProgID="Equation.2" ShapeID="_x0000_i1041" DrawAspect="Content" ObjectID="_1427201664" r:id="rId36"/>
        </w:object>
      </w:r>
      <w:r>
        <w:tab/>
      </w:r>
      <w:r>
        <w:tab/>
        <w:t>(10)</w:t>
      </w:r>
    </w:p>
    <w:p w:rsidR="00000000" w:rsidRDefault="009A5DE7">
      <w:pPr>
        <w:ind w:right="2069" w:firstLine="284"/>
      </w:pPr>
      <w:r>
        <w:t xml:space="preserve">где </w:t>
      </w:r>
      <w:r>
        <w:rPr>
          <w:position w:val="-10"/>
        </w:rPr>
        <w:object w:dxaOrig="440" w:dyaOrig="340">
          <v:shape id="_x0000_i1042" type="#_x0000_t75" style="width:21.75pt;height:17.25pt" o:ole="">
            <v:imagedata r:id="rId37" o:title=""/>
          </v:shape>
          <o:OLEObject Type="Embed" ProgID="Equation.2" ShapeID="_x0000_i1042" DrawAspect="Content" ObjectID="_1427201665" r:id="rId38"/>
        </w:object>
      </w:r>
      <w:r>
        <w:t xml:space="preserve">, </w:t>
      </w:r>
      <w:r>
        <w:rPr>
          <w:position w:val="-10"/>
        </w:rPr>
        <w:object w:dxaOrig="480" w:dyaOrig="340">
          <v:shape id="_x0000_i1043" type="#_x0000_t75" style="width:24pt;height:17.25pt" o:ole="">
            <v:imagedata r:id="rId39" o:title=""/>
          </v:shape>
          <o:OLEObject Type="Embed" ProgID="Equation.2" ShapeID="_x0000_i1043" DrawAspect="Content" ObjectID="_1427201666" r:id="rId40"/>
        </w:object>
      </w:r>
      <w:r>
        <w:t xml:space="preserve">, </w:t>
      </w:r>
      <w:r>
        <w:rPr>
          <w:position w:val="-10"/>
        </w:rPr>
        <w:object w:dxaOrig="460" w:dyaOrig="340">
          <v:shape id="_x0000_i1044" type="#_x0000_t75" style="width:23.25pt;height:17.25pt" o:ole="">
            <v:imagedata r:id="rId41" o:title=""/>
          </v:shape>
          <o:OLEObject Type="Embed" ProgID="Equation.2" ShapeID="_x0000_i1044" DrawAspect="Content" ObjectID="_1427201667" r:id="rId42"/>
        </w:object>
      </w:r>
      <w:r>
        <w:t xml:space="preserve">и </w:t>
      </w:r>
      <w:r>
        <w:rPr>
          <w:position w:val="-10"/>
        </w:rPr>
        <w:object w:dxaOrig="480" w:dyaOrig="340">
          <v:shape id="_x0000_i1045" type="#_x0000_t75" style="width:24pt;height:17.25pt" o:ole="">
            <v:imagedata r:id="rId43" o:title=""/>
          </v:shape>
          <o:OLEObject Type="Embed" ProgID="Equation.2" ShapeID="_x0000_i1045" DrawAspect="Content" ObjectID="_1427201668" r:id="rId44"/>
        </w:object>
      </w:r>
      <w:r>
        <w:t xml:space="preserve"> - средние значения показателя жесткости двух испытанных составов бетонной смеси, определенные на стандартном и проверяемом приборах и рассчитанные по формуле (3). Аналогичную методику следует использовать и для сравнения приборов для определения подвижности бетонной смеси.</w:t>
      </w:r>
    </w:p>
    <w:p w:rsidR="00000000" w:rsidRDefault="009A5DE7">
      <w:pPr>
        <w:ind w:right="2069" w:firstLine="284"/>
      </w:pP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ОПРЕДЕЛЕНИЕ ЖЕСТКОСТИ БЕТОННОЙ СМЕСИ ТЕХНИЧЕСКИМ ВИСКОЗИМЕТРОМ</w:t>
      </w:r>
    </w:p>
    <w:p w:rsidR="00000000" w:rsidRDefault="009A5DE7">
      <w:pPr>
        <w:ind w:right="2069" w:firstLine="284"/>
      </w:pPr>
      <w:r>
        <w:t>1. Определение жесткости бетонной смеси техническим вискози</w:t>
      </w:r>
      <w:r>
        <w:softHyphen/>
        <w:t>мет</w:t>
      </w:r>
      <w:r>
        <w:softHyphen/>
        <w:t xml:space="preserve">ром (см. чертеж) производится при наибольшей </w:t>
      </w:r>
      <w:r>
        <w:t>крупности зерен заполнителя от 5 до 40 мм.</w:t>
      </w:r>
    </w:p>
    <w:p w:rsidR="00000000" w:rsidRDefault="009A5DE7">
      <w:pPr>
        <w:ind w:right="2069" w:firstLine="284"/>
      </w:pPr>
      <w:r>
        <w:t>2. При определении жесткости бетонной смеси на виброплощадку, отвечающую требованиям п. 2.4 настоящего стандарта, устанавливают и закрепляют цилиндрический сосуд 1 вискозиметра. Затем в сосуд вставляют и закрепляют зажимами 3 цилиндрическое кольцо 2. В кольцо вставляют конус 4. На конус надевают кольцо-держатель 10, руч</w:t>
      </w:r>
      <w:r>
        <w:softHyphen/>
        <w:t>ки которого заводят в пазы петель 11, затем устанавливают насадку 5.</w:t>
      </w:r>
    </w:p>
    <w:p w:rsidR="00000000" w:rsidRDefault="009A5DE7">
      <w:pPr>
        <w:ind w:right="2069" w:firstLine="284"/>
      </w:pPr>
      <w:r>
        <w:t>3. Конус наполняют бетонной смесью на полную высоту с насадкой, предварительно</w:t>
      </w:r>
      <w:r>
        <w:t xml:space="preserve"> уплотняя смесь штыкованием.</w:t>
      </w:r>
    </w:p>
    <w:p w:rsidR="00000000" w:rsidRDefault="009A5DE7">
      <w:pPr>
        <w:ind w:right="2069" w:firstLine="284"/>
      </w:pPr>
      <w:r>
        <w:t>Окончательное уплотнение бетонной смеси в конусе производят вибрированием до тех пор, пока на поверхности смеси и из-под нижнего основания конуса начнется заметное выделение цементного клея. Время вибрирования должно быть не менее 5 и не более 30 с.</w:t>
      </w:r>
    </w:p>
    <w:p w:rsidR="00000000" w:rsidRDefault="009A5DE7">
      <w:pPr>
        <w:ind w:right="2069" w:firstLine="284"/>
      </w:pPr>
      <w:r>
        <w:t>4. По окончании вибрирования насадку снимают, избыток смеси срезают металлической линейкой вровень с краями конуса, а затем снимают конус строго вертикально без перекосов.</w:t>
      </w:r>
    </w:p>
    <w:p w:rsidR="00000000" w:rsidRDefault="009A5DE7">
      <w:pPr>
        <w:ind w:right="2069" w:firstLine="284"/>
      </w:pPr>
      <w:r>
        <w:t>5. Устанавливают на прибор штатив 9 с диском 8 и штангой 7 (м</w:t>
      </w:r>
      <w:r>
        <w:t>асса диска со штангой должна быть в пределах 800-1000 г). Полностью освобождают зажимной винт 6 штанги и опускают диск на поверхность отформованного конуса бетонной смеси.</w:t>
      </w:r>
    </w:p>
    <w:p w:rsidR="00000000" w:rsidRDefault="009A5DE7">
      <w:pPr>
        <w:ind w:right="2069" w:firstLine="284"/>
      </w:pPr>
      <w:r>
        <w:t>6. Одновременно включают виброплощадку и секундомер и наблюдают за опусканием штанги. Когда риска штанги совпадает с верхней плоскостью направляющей головки штатива, выключают секундомер и вибратор и отмечают время, прошедшее от момента включения вибратора до его выключения. Полученное время в секундах, умноженное на усредненный переводно</w:t>
      </w:r>
      <w:r>
        <w:t>й коэффициент 0,45, характеризует жесткость бетонной смеси.</w:t>
      </w:r>
    </w:p>
    <w:p w:rsidR="00000000" w:rsidRDefault="009A5DE7">
      <w:pPr>
        <w:ind w:right="2069" w:firstLine="284"/>
      </w:pPr>
      <w:r>
        <w:t>7. Для нанесения риски на штангу 7 проводят тарировочный опыт с бетонной смесью, имеющей показатель подвижности 1-2 см и заполнитель максимальной крупностью зерен 20 мм. Риску наносят на штанге на 5 мм ниже положения, отвечающего выровненной поверхности.</w:t>
      </w:r>
    </w:p>
    <w:p w:rsidR="00000000" w:rsidRDefault="009A5DE7">
      <w:pPr>
        <w:ind w:right="2069" w:firstLine="284"/>
      </w:pPr>
      <w:r>
        <w:t>8. Испытание производят не менее двух раз в соответствии с пп. 3.2.8 и 3.2.9 настоящего стандарта.</w:t>
      </w:r>
    </w:p>
    <w:p w:rsidR="00000000" w:rsidRDefault="009A5DE7">
      <w:pPr>
        <w:ind w:right="2069" w:firstLine="284"/>
        <w:jc w:val="center"/>
      </w:pPr>
      <w:r>
        <w:pict>
          <v:shape id="_x0000_i1046" type="#_x0000_t75" style="width:163.5pt;height:249.75pt">
            <v:imagedata r:id="rId45" o:title=""/>
          </v:shape>
        </w:pict>
      </w: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9A5DE7">
      <w:pPr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9A5DE7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ОПРЕДЕЛЕНИЕ ЖЕСТКОСТИ БЕТОННОЙ СМЕСИ В ФОРМАХ ДЛЯ ИЗГОТОВЛЕНИЯ БЕТОНН</w:t>
      </w:r>
      <w:r>
        <w:rPr>
          <w:b/>
        </w:rPr>
        <w:t>ЫХ ОБРАЗЦОВ</w:t>
      </w:r>
    </w:p>
    <w:p w:rsidR="00000000" w:rsidRDefault="009A5DE7">
      <w:pPr>
        <w:ind w:right="2069" w:firstLine="284"/>
        <w:rPr>
          <w:lang w:val="en-US"/>
        </w:rPr>
      </w:pPr>
      <w:r>
        <w:t>1. Определение жесткости бетонной смеси в формах для изготовления контрольных образцов следует проводить:</w:t>
      </w:r>
    </w:p>
    <w:p w:rsidR="00000000" w:rsidRDefault="009A5DE7">
      <w:pPr>
        <w:ind w:right="2069" w:firstLine="284"/>
      </w:pPr>
      <w:r>
        <w:t>при наибольшей крупности зерен заполнителя от 5 до 70 мм в фор</w:t>
      </w:r>
      <w:r>
        <w:softHyphen/>
        <w:t>мах размерами 200х200х200 мм по методу Скрамтаева с помощью ме</w:t>
      </w:r>
      <w:r>
        <w:softHyphen/>
        <w:t>таллического конуса, размер которого указан на чертеже приложения 2;</w:t>
      </w:r>
    </w:p>
    <w:p w:rsidR="00000000" w:rsidRDefault="009A5DE7">
      <w:pPr>
        <w:ind w:right="2069" w:firstLine="284"/>
      </w:pPr>
      <w:r>
        <w:t>при наибольшей крупности зерен заполнителя от 5 до 20 мм - в формах размерами 100х100х100 мм с помощью прибора конструкции Красного массой (435</w:t>
      </w:r>
      <w:r>
        <w:sym w:font="Times New Roman" w:char="00B1"/>
      </w:r>
      <w:r>
        <w:t>15) г (см. чертеж настоящего приложения).</w:t>
      </w:r>
    </w:p>
    <w:p w:rsidR="00000000" w:rsidRDefault="009A5DE7">
      <w:pPr>
        <w:ind w:right="2069" w:firstLine="284"/>
      </w:pPr>
      <w:r>
        <w:t>2. При опреде</w:t>
      </w:r>
      <w:r>
        <w:t>лении жесткости бетонной смеси формы для изготовления контрольных образцов должны быть закреплены на лабораторной виброплощадке, отвечающей требованиям п.2.4 настоящего стандарта.</w:t>
      </w:r>
    </w:p>
    <w:p w:rsidR="00000000" w:rsidRDefault="009A5DE7">
      <w:pPr>
        <w:ind w:right="2069" w:firstLine="284"/>
      </w:pPr>
      <w:r>
        <w:t>3. Для определения жесткости в формах размерами 200х200х200 мм в закрепленную на виброплощадке форму вставляют конус и заполняют его бетонной смесью, как указано в пункте 3.1.3.2. настоящего стандарта. Затем конус осторожно снимают и включают вибро</w:t>
      </w:r>
      <w:r>
        <w:softHyphen/>
        <w:t>пло</w:t>
      </w:r>
      <w:r>
        <w:softHyphen/>
        <w:t>щад</w:t>
      </w:r>
      <w:r>
        <w:softHyphen/>
        <w:t>ку, одновременно включая секундомер. Вибрирование производят до тех пор, по</w:t>
      </w:r>
      <w:r>
        <w:t>ка бетонная смесь не заполнит все углы формы, а поверхность ее не станет горизонтальной.</w:t>
      </w:r>
    </w:p>
    <w:p w:rsidR="00000000" w:rsidRDefault="009A5DE7">
      <w:pPr>
        <w:ind w:right="2069" w:firstLine="284"/>
      </w:pPr>
      <w:r>
        <w:t>4. Для определения жесткости в формах размерами 100х100х100 мм закрепленную на виброплощадке форму заполняют бетонной смесью на всю высоту. После этого погружают в бетонную смесь ножки прибора до соприкосновения диска со смесью. Затем включают одновременно виброплощадку и секундомер. Вибрирование производят до тех пор, пока не начнется выделение цементного теста из любых двух отверстий диска. В этот момент выключают виб</w:t>
      </w:r>
      <w:r>
        <w:t>роплощадку и секундомер. Полученное время (в секундах) характеризует жесткость бетонной смеси (усредненный переводной коэффициент равен 1).</w:t>
      </w:r>
    </w:p>
    <w:p w:rsidR="00000000" w:rsidRDefault="009A5DE7">
      <w:pPr>
        <w:ind w:right="2069" w:firstLine="284"/>
      </w:pPr>
      <w:r>
        <w:t>5. Жесткость бетонной смеси по пп. 3 и 4 определяют в соответствии с пп 3.2.8 и 3.2.9 настоящего стандарта.</w:t>
      </w:r>
    </w:p>
    <w:p w:rsidR="00000000" w:rsidRDefault="009A5DE7">
      <w:pPr>
        <w:ind w:right="2069" w:firstLine="284"/>
      </w:pPr>
      <w:r>
        <w:pict>
          <v:shape id="_x0000_i1047" type="#_x0000_t75" style="width:221.25pt;height:180pt">
            <v:imagedata r:id="rId46" o:title=""/>
          </v:shape>
        </w:pict>
      </w:r>
    </w:p>
    <w:p w:rsidR="00000000" w:rsidRDefault="009A5DE7">
      <w:pPr>
        <w:ind w:right="2069" w:firstLine="284"/>
      </w:pPr>
      <w:r>
        <w:pict>
          <v:shape id="_x0000_i1048" type="#_x0000_t75" style="width:234pt;height:187.5pt">
            <v:imagedata r:id="rId47" o:title=""/>
          </v:shape>
        </w:pic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54E4"/>
    <w:multiLevelType w:val="singleLevel"/>
    <w:tmpl w:val="D6726D8E"/>
    <w:lvl w:ilvl="0">
      <w:start w:val="5"/>
      <w:numFmt w:val="decimal"/>
      <w:lvlText w:val="3.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3.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E7"/>
    <w:rsid w:val="009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6.wmf" Type="http://schemas.openxmlformats.org/officeDocument/2006/relationships/image"/><Relationship Id="rId18" Target="embeddings/oleObject6.bin" Type="http://schemas.openxmlformats.org/officeDocument/2006/relationships/oleObject"/><Relationship Id="rId26" Target="embeddings/oleObject10.bin" Type="http://schemas.openxmlformats.org/officeDocument/2006/relationships/oleObject"/><Relationship Id="rId39" Target="media/image19.wmf" Type="http://schemas.openxmlformats.org/officeDocument/2006/relationships/image"/><Relationship Id="rId3" Target="settings.xml" Type="http://schemas.openxmlformats.org/officeDocument/2006/relationships/settings"/><Relationship Id="rId21" Target="media/image10.wmf" Type="http://schemas.openxmlformats.org/officeDocument/2006/relationships/image"/><Relationship Id="rId34" Target="embeddings/oleObject14.bin" Type="http://schemas.openxmlformats.org/officeDocument/2006/relationships/oleObject"/><Relationship Id="rId42" Target="embeddings/oleObject18.bin" Type="http://schemas.openxmlformats.org/officeDocument/2006/relationships/oleObject"/><Relationship Id="rId47" Target="media/image24.jpeg" Type="http://schemas.openxmlformats.org/officeDocument/2006/relationships/image"/><Relationship Id="rId7" Target="media/image3.wmf" Type="http://schemas.openxmlformats.org/officeDocument/2006/relationships/image"/><Relationship Id="rId12" Target="embeddings/oleObject3.bin" Type="http://schemas.openxmlformats.org/officeDocument/2006/relationships/oleObject"/><Relationship Id="rId17" Target="media/image8.wmf" Type="http://schemas.openxmlformats.org/officeDocument/2006/relationships/image"/><Relationship Id="rId25" Target="media/image12.wmf" Type="http://schemas.openxmlformats.org/officeDocument/2006/relationships/image"/><Relationship Id="rId33" Target="media/image16.wmf" Type="http://schemas.openxmlformats.org/officeDocument/2006/relationships/image"/><Relationship Id="rId38" Target="embeddings/oleObject16.bin" Type="http://schemas.openxmlformats.org/officeDocument/2006/relationships/oleObject"/><Relationship Id="rId46" Target="media/image23.jpeg" Type="http://schemas.openxmlformats.org/officeDocument/2006/relationships/image"/><Relationship Id="rId2" Target="styles.xml" Type="http://schemas.openxmlformats.org/officeDocument/2006/relationships/style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29" Target="media/image14.wmf" Type="http://schemas.openxmlformats.org/officeDocument/2006/relationships/image"/><Relationship Id="rId41" Target="media/image20.wmf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5.wmf" Type="http://schemas.openxmlformats.org/officeDocument/2006/relationships/image"/><Relationship Id="rId24" Target="embeddings/oleObject9.bin" Type="http://schemas.openxmlformats.org/officeDocument/2006/relationships/oleObject"/><Relationship Id="rId32" Target="embeddings/oleObject13.bin" Type="http://schemas.openxmlformats.org/officeDocument/2006/relationships/oleObject"/><Relationship Id="rId37" Target="media/image18.wmf" Type="http://schemas.openxmlformats.org/officeDocument/2006/relationships/image"/><Relationship Id="rId40" Target="embeddings/oleObject17.bin" Type="http://schemas.openxmlformats.org/officeDocument/2006/relationships/oleObject"/><Relationship Id="rId45" Target="media/image22.jpeg" Type="http://schemas.openxmlformats.org/officeDocument/2006/relationships/image"/><Relationship Id="rId5" Target="media/image1.jpeg" Type="http://schemas.openxmlformats.org/officeDocument/2006/relationships/image"/><Relationship Id="rId15" Target="media/image7.wmf" Type="http://schemas.openxmlformats.org/officeDocument/2006/relationships/image"/><Relationship Id="rId23" Target="media/image11.wmf" Type="http://schemas.openxmlformats.org/officeDocument/2006/relationships/image"/><Relationship Id="rId28" Target="embeddings/oleObject11.bin" Type="http://schemas.openxmlformats.org/officeDocument/2006/relationships/oleObject"/><Relationship Id="rId36" Target="embeddings/oleObject15.bin" Type="http://schemas.openxmlformats.org/officeDocument/2006/relationships/oleObject"/><Relationship Id="rId49" Target="theme/theme1.xml" Type="http://schemas.openxmlformats.org/officeDocument/2006/relationships/theme"/><Relationship Id="rId10" Target="embeddings/oleObject2.bin" Type="http://schemas.openxmlformats.org/officeDocument/2006/relationships/oleObject"/><Relationship Id="rId19" Target="media/image9.wmf" Type="http://schemas.openxmlformats.org/officeDocument/2006/relationships/image"/><Relationship Id="rId31" Target="media/image15.wmf" Type="http://schemas.openxmlformats.org/officeDocument/2006/relationships/image"/><Relationship Id="rId44" Target="embeddings/oleObject19.bin" Type="http://schemas.openxmlformats.org/officeDocument/2006/relationships/oleObject"/><Relationship Id="rId4" Target="webSettings.xml" Type="http://schemas.openxmlformats.org/officeDocument/2006/relationships/webSettings"/><Relationship Id="rId9" Target="media/image4.wmf" Type="http://schemas.openxmlformats.org/officeDocument/2006/relationships/image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media/image13.wmf" Type="http://schemas.openxmlformats.org/officeDocument/2006/relationships/image"/><Relationship Id="rId30" Target="embeddings/oleObject12.bin" Type="http://schemas.openxmlformats.org/officeDocument/2006/relationships/oleObject"/><Relationship Id="rId35" Target="media/image17.wmf" Type="http://schemas.openxmlformats.org/officeDocument/2006/relationships/image"/><Relationship Id="rId43" Target="media/image21.wmf" Type="http://schemas.openxmlformats.org/officeDocument/2006/relationships/image"/><Relationship Id="rId48" Target="fontTable.xml" Type="http://schemas.openxmlformats.org/officeDocument/2006/relationships/fontTable"/><Relationship Id="rId8" Target="embeddings/oleObject1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2368</Words>
  <Characters>13500</Characters>
  <Application>Microsoft Office Word</Application>
  <DocSecurity>0</DocSecurity>
  <Lines>112</Lines>
  <Paragraphs>31</Paragraphs>
  <ScaleCrop>false</ScaleCrop>
  <Company>Elcom Ltd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177214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