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6C28">
      <w:pPr>
        <w:pBdr>
          <w:bottom w:val="single" w:sz="6" w:space="1" w:color="auto"/>
        </w:pBdr>
        <w:ind w:right="2069"/>
        <w:jc w:val="center"/>
      </w:pPr>
      <w:bookmarkStart w:id="0" w:name="_GoBack"/>
      <w:bookmarkEnd w:id="0"/>
      <w:r>
        <w:t>ГОСУДАРСТВЕННЫЙ СТАНДАРТ СОЮЗА ССР</w:t>
      </w:r>
    </w:p>
    <w:p w:rsidR="00000000" w:rsidRDefault="001F6C28">
      <w:pPr>
        <w:ind w:right="2069"/>
        <w:jc w:val="center"/>
      </w:pPr>
      <w:r>
        <w:t>ГОСТ 10181.2-81</w:t>
      </w:r>
    </w:p>
    <w:p w:rsidR="00000000" w:rsidRDefault="001F6C28">
      <w:pPr>
        <w:spacing w:before="120" w:after="120"/>
        <w:ind w:right="2070"/>
        <w:jc w:val="center"/>
        <w:rPr>
          <w:b/>
          <w:sz w:val="24"/>
        </w:rPr>
      </w:pPr>
      <w:r>
        <w:rPr>
          <w:b/>
          <w:sz w:val="24"/>
        </w:rPr>
        <w:t>СМЕСИ БЕТОННЫЕ</w:t>
      </w:r>
    </w:p>
    <w:p w:rsidR="00000000" w:rsidRDefault="001F6C28">
      <w:pPr>
        <w:ind w:right="2069"/>
        <w:jc w:val="center"/>
        <w:rPr>
          <w:b/>
        </w:rPr>
      </w:pPr>
      <w:r>
        <w:rPr>
          <w:b/>
        </w:rPr>
        <w:t>Метод определения плотности</w:t>
      </w:r>
    </w:p>
    <w:p w:rsidR="00000000" w:rsidRDefault="001F6C28">
      <w:pPr>
        <w:ind w:right="2069"/>
        <w:jc w:val="center"/>
      </w:pPr>
    </w:p>
    <w:p w:rsidR="00000000" w:rsidRDefault="001F6C28">
      <w:pPr>
        <w:pBdr>
          <w:bottom w:val="single" w:sz="6" w:space="1" w:color="auto"/>
        </w:pBdr>
        <w:ind w:right="2069"/>
        <w:jc w:val="center"/>
        <w:rPr>
          <w:lang w:val="en-US"/>
        </w:rPr>
      </w:pPr>
      <w:r>
        <w:rPr>
          <w:lang w:val="en-US"/>
        </w:rPr>
        <w:t>Concrete mixtures. Test method for determination of density.</w:t>
      </w:r>
    </w:p>
    <w:p w:rsidR="00000000" w:rsidRDefault="001F6C28">
      <w:pPr>
        <w:ind w:right="2069" w:firstLine="284"/>
      </w:pPr>
      <w:r>
        <w:t xml:space="preserve">Постановлением Государственного совета СССР по делам строительства от 31 декабря 1980 г. № 228 срок </w:t>
      </w:r>
      <w:r>
        <w:t xml:space="preserve">введения установлен </w:t>
      </w:r>
    </w:p>
    <w:p w:rsidR="00000000" w:rsidRDefault="001F6C28">
      <w:pPr>
        <w:ind w:right="2069" w:firstLine="284"/>
        <w:jc w:val="right"/>
        <w:rPr>
          <w:u w:val="single"/>
        </w:rPr>
      </w:pPr>
      <w:r>
        <w:rPr>
          <w:u w:val="single"/>
        </w:rPr>
        <w:t>с 01.01.82</w:t>
      </w:r>
    </w:p>
    <w:p w:rsidR="00000000" w:rsidRDefault="001F6C28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1F6C28">
      <w:pPr>
        <w:ind w:right="2069" w:firstLine="284"/>
      </w:pPr>
      <w:r>
        <w:t>Настоящий стандарт распространяется на бетонные смеси, приготовленные на минеральных вяжущих, плотных и пористых заполнителях, и устанавливает метод определения их плотности.</w:t>
      </w:r>
    </w:p>
    <w:p w:rsidR="00000000" w:rsidRDefault="001F6C28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1. ОБЩИЕ ТРЕБОВАНИЯ</w:t>
      </w:r>
    </w:p>
    <w:p w:rsidR="00000000" w:rsidRDefault="001F6C28">
      <w:pPr>
        <w:ind w:right="2069" w:firstLine="284"/>
      </w:pPr>
      <w:r>
        <w:t>1.1. Общие требования к методу определения плотности бетонной смеси - по ГОСТ 10181.0-81.</w:t>
      </w:r>
    </w:p>
    <w:p w:rsidR="00000000" w:rsidRDefault="001F6C28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2. АППАРАТУРА</w:t>
      </w:r>
    </w:p>
    <w:p w:rsidR="00000000" w:rsidRDefault="001F6C28">
      <w:pPr>
        <w:ind w:right="2069" w:firstLine="284"/>
      </w:pPr>
      <w:r>
        <w:t>2.1. Для проведения испытания применяют:</w:t>
      </w:r>
    </w:p>
    <w:p w:rsidR="00000000" w:rsidRDefault="001F6C28">
      <w:pPr>
        <w:spacing w:after="120"/>
        <w:ind w:right="2070" w:firstLine="284"/>
      </w:pPr>
      <w:r>
        <w:t>цилиндрические металлические сосуды, размеры которых в зависимости от крупности зерен заполнит</w:t>
      </w:r>
      <w:r>
        <w:t xml:space="preserve">еля указаны в таблице,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922"/>
        <w:gridCol w:w="9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6C28">
            <w:pPr>
              <w:rPr>
                <w:sz w:val="16"/>
              </w:rPr>
            </w:pPr>
            <w:r>
              <w:rPr>
                <w:sz w:val="16"/>
              </w:rPr>
              <w:t>Наибольшая крупность заполнителя, мм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</w:tcBorders>
          </w:tcPr>
          <w:p w:rsidR="00000000" w:rsidRDefault="001F6C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Емкость сосуда, дм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6C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Внутренние размеры сосуда,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6C28">
            <w:pPr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F6C28">
            <w:pPr>
              <w:jc w:val="center"/>
              <w:rPr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6C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Диаметр</w:t>
            </w: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6C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Высота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6C28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</w:tcBorders>
          </w:tcPr>
          <w:p w:rsidR="00000000" w:rsidRDefault="001F6C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6C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922" w:type="dxa"/>
            <w:tcBorders>
              <w:left w:val="nil"/>
              <w:right w:val="single" w:sz="6" w:space="0" w:color="auto"/>
            </w:tcBorders>
          </w:tcPr>
          <w:p w:rsidR="00000000" w:rsidRDefault="001F6C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6C28">
            <w:pPr>
              <w:rPr>
                <w:sz w:val="16"/>
              </w:rPr>
            </w:pPr>
            <w:r>
              <w:rPr>
                <w:sz w:val="16"/>
              </w:rPr>
              <w:t>Св. 40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</w:tcBorders>
          </w:tcPr>
          <w:p w:rsidR="00000000" w:rsidRDefault="001F6C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6C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267</w:t>
            </w:r>
          </w:p>
        </w:tc>
        <w:tc>
          <w:tcPr>
            <w:tcW w:w="92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6C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267</w:t>
            </w:r>
          </w:p>
        </w:tc>
      </w:tr>
    </w:tbl>
    <w:p w:rsidR="00000000" w:rsidRDefault="001F6C28">
      <w:pPr>
        <w:spacing w:before="120"/>
        <w:ind w:right="2070" w:firstLine="284"/>
      </w:pPr>
      <w:r>
        <w:t>весы лабораторные по ГОСТ 24104-80;</w:t>
      </w:r>
    </w:p>
    <w:p w:rsidR="00000000" w:rsidRDefault="001F6C28">
      <w:pPr>
        <w:ind w:right="2069" w:firstLine="284"/>
      </w:pPr>
      <w:r>
        <w:t>лабораторную виброплощадку по ГОСТ 10181.1-81</w:t>
      </w:r>
    </w:p>
    <w:p w:rsidR="00000000" w:rsidRDefault="001F6C28">
      <w:pPr>
        <w:ind w:right="2069" w:firstLine="284"/>
      </w:pPr>
      <w:r>
        <w:t>кельму типа КБ по ГОСТ 9533-81;</w:t>
      </w:r>
    </w:p>
    <w:p w:rsidR="00000000" w:rsidRDefault="001F6C28">
      <w:pPr>
        <w:ind w:right="2069" w:firstLine="284"/>
      </w:pPr>
      <w:r>
        <w:t>стальные линейки длиной 400 мм.</w:t>
      </w:r>
    </w:p>
    <w:p w:rsidR="00000000" w:rsidRDefault="001F6C28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3. ПРОВЕДЕНИЕ ИСПЫТАНИЯ</w:t>
      </w:r>
    </w:p>
    <w:p w:rsidR="00000000" w:rsidRDefault="001F6C28">
      <w:pPr>
        <w:ind w:right="2069" w:firstLine="284"/>
      </w:pPr>
      <w:r>
        <w:t>3.1. Плотность бетонной смеси, характеризуемая отношением массы уплотненной бетонной смеси к ее объему, определяется в цилиндрическом сосуде, емкость которого в зависимости от наи</w:t>
      </w:r>
      <w:r>
        <w:t>большей крупности зерен заполнителя должна соответствовать указанной в таблице.</w:t>
      </w:r>
    </w:p>
    <w:p w:rsidR="00000000" w:rsidRDefault="001F6C28">
      <w:pPr>
        <w:spacing w:before="60" w:after="60"/>
        <w:ind w:right="2070" w:firstLine="284"/>
        <w:rPr>
          <w:sz w:val="16"/>
        </w:rPr>
      </w:pPr>
      <w:r>
        <w:rPr>
          <w:sz w:val="16"/>
        </w:rPr>
        <w:t>Примечание. Для оперативного контроля плотности бетонной смеси на пористых заполнителях ее определение в производственных условиях допускается производить в формах, предназначенных для изготовления контрольных образцов бетона, соответствующих требованиям ГОСТ 22685-85.</w:t>
      </w:r>
    </w:p>
    <w:p w:rsidR="00000000" w:rsidRDefault="001F6C28">
      <w:pPr>
        <w:ind w:right="2069" w:firstLine="284"/>
      </w:pPr>
      <w:r>
        <w:t>3.2. Перед испытанием мерный сосуд, выбранный в зависимости от крупности заполнителя, предварительно взвешивают с погрешностью не более 0,1 %.</w:t>
      </w:r>
    </w:p>
    <w:p w:rsidR="00000000" w:rsidRDefault="001F6C28">
      <w:pPr>
        <w:ind w:right="2069" w:firstLine="284"/>
      </w:pPr>
      <w:r>
        <w:t>3.3. Укладку и упло</w:t>
      </w:r>
      <w:r>
        <w:t>тнение бетонной смеси в сосуде или форме производят в соответствии с ГОСТ 10180-78 в зависимости от удобоукладываемости смеси.</w:t>
      </w:r>
    </w:p>
    <w:p w:rsidR="00000000" w:rsidRDefault="001F6C28">
      <w:pPr>
        <w:ind w:right="2069" w:firstLine="284"/>
      </w:pPr>
      <w:r>
        <w:t>3.4. После уплотнения избыток смеси срезают стальной линейкой и поверхность тщательно выравнивают вровень с краями мерного сосуда (формы). Затем сосуд с бетонной смесью взвешивают с погрешностью не более 0,1 %.</w:t>
      </w:r>
    </w:p>
    <w:p w:rsidR="00000000" w:rsidRDefault="001F6C28">
      <w:pPr>
        <w:ind w:right="2069" w:firstLine="284"/>
      </w:pPr>
      <w:r>
        <w:t xml:space="preserve">3.5. Плотность бетонной смеси </w:t>
      </w:r>
      <w:r>
        <w:sym w:font="Symbol" w:char="F072"/>
      </w:r>
      <w:r>
        <w:rPr>
          <w:vertAlign w:val="subscript"/>
        </w:rPr>
        <w:t>см</w:t>
      </w:r>
      <w:r>
        <w:t xml:space="preserve"> в кг/м</w:t>
      </w:r>
      <w:r>
        <w:rPr>
          <w:vertAlign w:val="superscript"/>
        </w:rPr>
        <w:t>3</w:t>
      </w:r>
      <w:r>
        <w:t xml:space="preserve"> вычисляют по формуле</w:t>
      </w:r>
    </w:p>
    <w:p w:rsidR="00000000" w:rsidRDefault="001F6C28">
      <w:pPr>
        <w:ind w:right="2069" w:firstLine="284"/>
        <w:jc w:val="center"/>
      </w:pPr>
      <w:r>
        <w:rPr>
          <w:position w:val="-22"/>
        </w:rPr>
        <w:object w:dxaOrig="1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0.75pt" o:ole="">
            <v:imagedata r:id="rId4" o:title=""/>
          </v:shape>
          <o:OLEObject Type="Embed" ProgID="Equation.2" ShapeID="_x0000_i1025" DrawAspect="Content" ObjectID="_1427201672" r:id="rId5"/>
        </w:object>
      </w:r>
      <w:r>
        <w:t>,</w:t>
      </w:r>
    </w:p>
    <w:p w:rsidR="00000000" w:rsidRDefault="001F6C28">
      <w:pPr>
        <w:ind w:right="2069" w:firstLine="284"/>
      </w:pPr>
      <w:r>
        <w:t xml:space="preserve">где </w:t>
      </w:r>
      <w:r>
        <w:rPr>
          <w:i/>
        </w:rPr>
        <w:t xml:space="preserve">т </w:t>
      </w:r>
      <w:r>
        <w:t>- масса мерного сосуда с бетонной смесью, г;</w:t>
      </w:r>
    </w:p>
    <w:p w:rsidR="00000000" w:rsidRDefault="001F6C28">
      <w:pPr>
        <w:ind w:right="2069" w:firstLine="567"/>
      </w:pPr>
      <w:r>
        <w:rPr>
          <w:i/>
        </w:rPr>
        <w:lastRenderedPageBreak/>
        <w:t>т</w:t>
      </w:r>
      <w:r>
        <w:rPr>
          <w:i/>
          <w:vertAlign w:val="subscript"/>
        </w:rPr>
        <w:t>1</w:t>
      </w:r>
      <w:r>
        <w:rPr>
          <w:vertAlign w:val="subscript"/>
        </w:rPr>
        <w:t xml:space="preserve"> </w:t>
      </w:r>
      <w:r>
        <w:t>- масса мерного сосуда без смеси</w:t>
      </w:r>
      <w:r>
        <w:t xml:space="preserve"> (формы), г;</w:t>
      </w:r>
    </w:p>
    <w:p w:rsidR="00000000" w:rsidRDefault="001F6C28">
      <w:pPr>
        <w:ind w:right="2069" w:firstLine="567"/>
      </w:pPr>
      <w:r>
        <w:rPr>
          <w:i/>
          <w:lang w:val="en-US"/>
        </w:rPr>
        <w:t>V</w:t>
      </w:r>
      <w:r>
        <w:t xml:space="preserve"> - объем мерного сосуда (формы), дм</w:t>
      </w:r>
      <w:r>
        <w:rPr>
          <w:vertAlign w:val="superscript"/>
        </w:rPr>
        <w:t>3</w:t>
      </w:r>
      <w:r>
        <w:t>.</w:t>
      </w:r>
    </w:p>
    <w:p w:rsidR="00000000" w:rsidRDefault="001F6C28">
      <w:pPr>
        <w:ind w:right="2069" w:firstLine="284"/>
      </w:pPr>
      <w:r>
        <w:t>3.6. Плотность бетонной смеси определяют дважды для каждой пробы бетонной смеси и вычисляют с округлением до 10 кг/м</w:t>
      </w:r>
      <w:r>
        <w:rPr>
          <w:vertAlign w:val="superscript"/>
        </w:rPr>
        <w:t>3</w:t>
      </w:r>
      <w:r>
        <w:t xml:space="preserve"> как среднее арифметическое значение результатов двух определений плотности смеси из одной пробы, отличающихся между собой не более чем на 5 % от меньшего значения. При большем расхождении результатов определение повторяют на новой пробе бетонной смеси по ГОСТ 10181.0-81.</w:t>
      </w:r>
    </w:p>
    <w:p w:rsidR="00000000" w:rsidRDefault="001F6C28">
      <w:pPr>
        <w:ind w:right="2069" w:firstLine="284"/>
      </w:pPr>
      <w:r>
        <w:t>3.7. Результаты испытания должны быть занесены в журнал, в котором ука</w:t>
      </w:r>
      <w:r>
        <w:t>зывают:</w:t>
      </w:r>
    </w:p>
    <w:p w:rsidR="00000000" w:rsidRDefault="001F6C28">
      <w:pPr>
        <w:ind w:right="2069" w:firstLine="284"/>
      </w:pPr>
      <w:r>
        <w:t>дату и время испытания;</w:t>
      </w:r>
    </w:p>
    <w:p w:rsidR="00000000" w:rsidRDefault="001F6C28">
      <w:pPr>
        <w:ind w:right="2069" w:firstLine="284"/>
      </w:pPr>
      <w:r>
        <w:t>место отбора пробы;</w:t>
      </w:r>
    </w:p>
    <w:p w:rsidR="00000000" w:rsidRDefault="001F6C28">
      <w:pPr>
        <w:ind w:right="2069" w:firstLine="284"/>
      </w:pPr>
      <w:r>
        <w:t>марку и вид бетона, изготовляемого из испытуемой смеси;</w:t>
      </w:r>
    </w:p>
    <w:p w:rsidR="00000000" w:rsidRDefault="001F6C28">
      <w:pPr>
        <w:ind w:right="2069" w:firstLine="284"/>
      </w:pPr>
      <w:r>
        <w:t>результаты частных определений;</w:t>
      </w:r>
    </w:p>
    <w:p w:rsidR="00000000" w:rsidRDefault="001F6C28">
      <w:pPr>
        <w:ind w:right="2069" w:firstLine="284"/>
      </w:pPr>
      <w:r>
        <w:t>среднеарифметический результат.</w:t>
      </w:r>
    </w:p>
    <w:p w:rsidR="00000000" w:rsidRDefault="001F6C28">
      <w:pPr>
        <w:ind w:right="2069" w:firstLine="284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C28"/>
    <w:rsid w:val="001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>Elcom Ltd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СОЮЗА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