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7652">
      <w:pPr>
        <w:pStyle w:val="Aioiaue"/>
        <w:tabs>
          <w:tab w:val="clear" w:pos="9590"/>
        </w:tabs>
        <w:jc w:val="center"/>
        <w:rPr>
          <w:sz w:val="24"/>
        </w:rPr>
      </w:pPr>
      <w:bookmarkStart w:id="0" w:name="_GoBack"/>
      <w:bookmarkEnd w:id="0"/>
    </w:p>
    <w:p w:rsidR="00000000" w:rsidRDefault="006D7652">
      <w:pPr>
        <w:pStyle w:val="Aioiaue"/>
        <w:tabs>
          <w:tab w:val="clear" w:pos="9590"/>
        </w:tabs>
        <w:jc w:val="right"/>
        <w:rPr>
          <w:sz w:val="24"/>
        </w:rPr>
      </w:pPr>
      <w:r>
        <w:rPr>
          <w:sz w:val="24"/>
        </w:rPr>
        <w:t>ГОСТ 12.1.020-79</w:t>
      </w:r>
    </w:p>
    <w:p w:rsidR="00000000" w:rsidRDefault="006D7652">
      <w:pPr>
        <w:pStyle w:val="Aioiaue"/>
        <w:tabs>
          <w:tab w:val="clear" w:pos="9590"/>
        </w:tabs>
        <w:jc w:val="right"/>
        <w:rPr>
          <w:sz w:val="24"/>
        </w:rPr>
      </w:pPr>
      <w:r>
        <w:rPr>
          <w:sz w:val="24"/>
        </w:rPr>
        <w:t>(СТ СЭВ 5710-86)</w:t>
      </w:r>
    </w:p>
    <w:p w:rsidR="00000000" w:rsidRDefault="006D7652">
      <w:pPr>
        <w:pStyle w:val="Aioiaue"/>
        <w:tabs>
          <w:tab w:val="clear" w:pos="9590"/>
        </w:tabs>
        <w:jc w:val="right"/>
        <w:rPr>
          <w:sz w:val="24"/>
        </w:rPr>
      </w:pPr>
    </w:p>
    <w:p w:rsidR="00000000" w:rsidRDefault="006D7652">
      <w:pPr>
        <w:pStyle w:val="Aioiaue"/>
        <w:tabs>
          <w:tab w:val="clear" w:pos="9590"/>
        </w:tabs>
        <w:jc w:val="right"/>
        <w:rPr>
          <w:sz w:val="24"/>
        </w:rPr>
      </w:pPr>
      <w:r>
        <w:rPr>
          <w:sz w:val="24"/>
        </w:rPr>
        <w:t>Группа Т58</w:t>
      </w:r>
    </w:p>
    <w:p w:rsidR="00000000" w:rsidRDefault="006D7652">
      <w:pPr>
        <w:pStyle w:val="Aioiaue"/>
        <w:tabs>
          <w:tab w:val="clear" w:pos="9590"/>
        </w:tabs>
        <w:rPr>
          <w:sz w:val="24"/>
        </w:rPr>
      </w:pP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H3"/>
        <w:jc w:val="center"/>
      </w:pPr>
      <w:r>
        <w:t>ГОСУДАРСТВЕННЫЙ СТАНДАРТ СОЮЗА ССР</w:t>
      </w:r>
      <w:r>
        <w:br/>
      </w:r>
      <w:r>
        <w:br/>
        <w:t>СИСТЕМА СТАНДАРТОВ БЕЗОПАСНОСТИ ТРУДА</w:t>
      </w:r>
      <w:r>
        <w:br/>
      </w:r>
      <w:r>
        <w:br/>
      </w:r>
      <w:r>
        <w:br/>
        <w:t>Шум.</w:t>
      </w:r>
      <w:r>
        <w:br/>
        <w:t>Метод контроля на морских и речных судах</w:t>
      </w:r>
      <w:r>
        <w:br/>
      </w:r>
      <w:r>
        <w:br/>
        <w:t>Occupational safety standards system</w:t>
      </w:r>
      <w:r>
        <w:t>.</w:t>
      </w:r>
      <w:r>
        <w:br/>
        <w:t>Noise. Method of control for sea and river ve</w:t>
      </w:r>
      <w:r>
        <w:t>ssels</w:t>
      </w:r>
      <w:r>
        <w:br/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  <w:jc w:val="right"/>
      </w:pPr>
      <w:r>
        <w:t>Дата введения 1980-07-01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H3"/>
        <w:jc w:val="center"/>
      </w:pPr>
      <w:r>
        <w:t>ИНФОРМАЦИОННЫЕ ДАННЫЕ</w:t>
      </w:r>
      <w:r>
        <w:br/>
      </w:r>
      <w:r>
        <w:br/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t>     1 РАЗРАБОТАН И ВНЕСЕН Министерством Морского флота СССР</w:t>
      </w:r>
    </w:p>
    <w:p w:rsidR="00000000" w:rsidRDefault="006D7652">
      <w:pPr>
        <w:jc w:val="both"/>
        <w:rPr>
          <w:sz w:val="24"/>
        </w:rPr>
      </w:pPr>
    </w:p>
    <w:p w:rsidR="00000000" w:rsidRDefault="006D7652">
      <w:pPr>
        <w:rPr>
          <w:sz w:val="24"/>
          <w:lang w:val="en-US"/>
        </w:rPr>
      </w:pPr>
      <w:r>
        <w:rPr>
          <w:sz w:val="24"/>
        </w:rPr>
        <w:t xml:space="preserve">     РАЗРАБОТЧИКИ: </w:t>
      </w:r>
    </w:p>
    <w:p w:rsidR="00000000" w:rsidRDefault="006D7652">
      <w:pPr>
        <w:rPr>
          <w:sz w:val="24"/>
        </w:rPr>
      </w:pPr>
      <w:r>
        <w:rPr>
          <w:sz w:val="24"/>
        </w:rPr>
        <w:t>     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t>     В.И. Зинченко, канд. техн. наук; А.Г. Ельник, канд. техн. наук; В.М. Спиридонов, канд. техн. наук; Г.Д. Изак, канд. техн. наук; Д.И. Лазаренко, д-р мед. наук; М.А. Леонов; Е.И. Сергеев, канд. физ.-мат. наук (руководитель темы); О.В. Гладкова; О.К. Кубяк, канд. мед. наук; И.И. Вареников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 УТВЕРЖДЕН И ВВЕДЕН В ДЕЙСТВИЕ Постановлением Государственного ком</w:t>
      </w:r>
      <w:r>
        <w:rPr>
          <w:sz w:val="24"/>
        </w:rPr>
        <w:t>итета СССР по стандартам от 21.08.79 N 3163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3 Срок проверки - 1989 г. Периодичность проверки - 5 лет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4 Стандарт содержит все требования СТ СЭВ 5710-86.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5 В стандарт введен международный стандарт ИСО 2923-75.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6 ССЫЛОЧНЫЕ НОРМАТИВНО-ТЕХНИЧЕСКИЕ ДОКУМЕНТЫ</w:t>
      </w:r>
    </w:p>
    <w:p w:rsidR="00000000" w:rsidRDefault="006D7652">
      <w:pPr>
        <w:jc w:val="both"/>
      </w:pPr>
    </w:p>
    <w:p w:rsidR="00000000" w:rsidRDefault="006D7652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6D7652">
      <w:pPr>
        <w:pStyle w:val="Aioiaue"/>
        <w:tabs>
          <w:tab w:val="clear" w:pos="9590"/>
        </w:tabs>
      </w:pPr>
      <w:r>
        <w:t>¦ Обозначение НТД, на который дана   ¦         Номер пункта        ¦</w:t>
      </w:r>
    </w:p>
    <w:p w:rsidR="00000000" w:rsidRDefault="006D7652">
      <w:pPr>
        <w:pStyle w:val="Aioiaue"/>
        <w:tabs>
          <w:tab w:val="clear" w:pos="9590"/>
        </w:tabs>
      </w:pPr>
      <w:r>
        <w:lastRenderedPageBreak/>
        <w:t xml:space="preserve">¦             ссылка                 ¦               </w:t>
      </w:r>
      <w:r>
        <w:t xml:space="preserve">              ¦</w:t>
      </w:r>
    </w:p>
    <w:p w:rsidR="00000000" w:rsidRDefault="006D7652">
      <w:pPr>
        <w:pStyle w:val="Aioiaue"/>
        <w:tabs>
          <w:tab w:val="clear" w:pos="9590"/>
        </w:tabs>
      </w:pPr>
      <w:r>
        <w:t>+------------------------------</w:t>
      </w:r>
      <w:r>
        <w:t>------------------------------------+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  <w:r>
        <w:t xml:space="preserve">  ГОСТ 12.1.003-83                        1.2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  <w:r>
        <w:t xml:space="preserve">  ГОСТ 12.1.050-86                        1.</w:t>
      </w:r>
      <w:r>
        <w:t>3; 2.2.3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  <w:r>
        <w:t xml:space="preserve">  ГОСТ 17168-82                           2.1.1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  <w:r>
        <w:t xml:space="preserve">  ГОСТ 17187-81                           2.1.1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  <w:r>
        <w:t xml:space="preserve">  ГОСТ 23941-79                           1.1</w:t>
      </w:r>
    </w:p>
    <w:p w:rsidR="00000000" w:rsidRDefault="006D7652">
      <w:pPr>
        <w:pStyle w:val="Aioiaue"/>
        <w:tabs>
          <w:tab w:val="clear" w:pos="9590"/>
        </w:tabs>
        <w:rPr>
          <w:sz w:val="24"/>
        </w:rPr>
      </w:pP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t>     7 Постановлением Госстандарта СССР от 13.12.89 N 3705 снято ограничение срока действия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8 ПЕРЕИЗДАНИЕ (январь 1996 г.) с ИЗМЕНЕНИЯМИ N 1, 2, утвержденными в июле 1985 г., октябре 1987 г. (ИУС N 10-85, 1-88).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</w:r>
      <w:r>
        <w:rPr>
          <w:sz w:val="24"/>
        </w:rPr>
        <w:br/>
        <w:t>    Наст</w:t>
      </w:r>
      <w:r>
        <w:rPr>
          <w:sz w:val="24"/>
        </w:rPr>
        <w:t>оящий стандарт устанавливает метод контроля уровней шума на рабочих местах, в зонах пребывания экипажа и пассажиров (далее местах</w:t>
      </w:r>
      <w:r>
        <w:rPr>
          <w:sz w:val="24"/>
        </w:rPr>
        <w:t xml:space="preserve"> </w:t>
      </w:r>
      <w:r>
        <w:rPr>
          <w:sz w:val="24"/>
        </w:rPr>
        <w:t>нахождения людей) морских и речных судов всех типов и назначений.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Степень соответствия настоящего стандарта СТ СЭВ 5710-86 приведена в приложении 2.</w:t>
      </w:r>
    </w:p>
    <w:p w:rsidR="00000000" w:rsidRDefault="006D7652">
      <w:pPr>
        <w:jc w:val="both"/>
        <w:rPr>
          <w:b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 (Измененная редакция, Изм. N 2).</w:t>
      </w:r>
    </w:p>
    <w:p w:rsidR="00000000" w:rsidRDefault="006D7652">
      <w:pPr>
        <w:jc w:val="center"/>
        <w:rPr>
          <w:sz w:val="28"/>
          <w:lang w:val="en-US"/>
        </w:rPr>
      </w:pPr>
      <w:r>
        <w:br/>
      </w:r>
      <w:r>
        <w:br/>
      </w:r>
      <w:r>
        <w:rPr>
          <w:sz w:val="28"/>
        </w:rPr>
        <w:t>    1 Общие положения</w:t>
      </w:r>
    </w:p>
    <w:p w:rsidR="00000000" w:rsidRDefault="006D7652">
      <w:pPr>
        <w:jc w:val="both"/>
        <w:rPr>
          <w:sz w:val="24"/>
          <w:lang w:val="en-US"/>
        </w:rPr>
      </w:pPr>
      <w:r>
        <w:br/>
      </w:r>
      <w:r>
        <w:br/>
      </w:r>
      <w:r>
        <w:rPr>
          <w:sz w:val="24"/>
        </w:rPr>
        <w:t xml:space="preserve">    1.1 </w:t>
      </w:r>
      <w:r>
        <w:rPr>
          <w:sz w:val="24"/>
        </w:rPr>
        <w:t>Контроль уровней шума должен производиться в процессе приемосдаточных испытаний на единичных головных, серийных судах и судах, прошедших ремонт или переобор</w:t>
      </w:r>
      <w:r>
        <w:rPr>
          <w:sz w:val="24"/>
        </w:rPr>
        <w:t>удование, которые могли привести к изменению уровней шума в местах нахождения людей.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Серийные суда при отсутствии существенных отличий, влияющих на шумовые характеристики, подвергаются контролю по требованию органов надзора.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Точность метода контроля согласно ГОСТ 23941-79 должна быть оценена средним квадратическим отклонением результата измерения.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1.2 Контроль выполняют с целью проверки соответствия уровней шума в местах нахождения людей требованиям ГОСТ 12.1.003-83 и действующим санитарным н</w:t>
      </w:r>
      <w:r>
        <w:rPr>
          <w:sz w:val="24"/>
        </w:rPr>
        <w:t>ормам.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Если по результатам испытаний на судне обнаружено превышение действующих норм, проводят специальные измерения в соответствии с требованиями стандарта ИСО 2923.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1.3 В качестве контролируемых шумовых характеристик устанавливают уровень звука L(А), дБ.А, и уровни звуковых давлений L, дБ, в октавных полосах со средними геометрическими частотами от 63 до 8000 Гц. Эквивалентный уровень звука L(Aэкв), дБ.А определяют при необходимости по ГОСТ 12.1.050</w:t>
      </w:r>
      <w:r>
        <w:rPr>
          <w:sz w:val="24"/>
        </w:rPr>
        <w:t>-86.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lastRenderedPageBreak/>
        <w:br/>
        <w:t>    На серийных судах допускается в качес</w:t>
      </w:r>
      <w:r>
        <w:rPr>
          <w:sz w:val="24"/>
        </w:rPr>
        <w:t>тве основной изменяемой величины принимать уровень звука L(А), дБ.А.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Допускается измерять уровни звукового давления в третьоктавных полосах со средними геометрическими частотами от 50 до 10000 Гц.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Для сравнения с допустимыми нормами уровни звукового давления в октавных полосах следует рассчитывать по измеренным уровням в третьоктавных полосах частот.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 1.1-1.3 (Измененная редакция, Изм. N 2).</w:t>
      </w:r>
    </w:p>
    <w:p w:rsidR="00000000" w:rsidRDefault="006D7652">
      <w:pPr>
        <w:jc w:val="center"/>
        <w:rPr>
          <w:b/>
          <w:sz w:val="28"/>
          <w:lang w:val="en-US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b/>
          <w:sz w:val="28"/>
        </w:rPr>
        <w:t>    2 Методика измерений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</w:r>
      <w:r>
        <w:rPr>
          <w:sz w:val="24"/>
        </w:rPr>
        <w:br/>
        <w:t>    2.1 Аппаратура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2.1</w:t>
      </w:r>
      <w:r>
        <w:rPr>
          <w:sz w:val="24"/>
        </w:rPr>
        <w:t>.1 Для проведения акустических измерений следуе</w:t>
      </w:r>
      <w:r>
        <w:rPr>
          <w:sz w:val="24"/>
        </w:rPr>
        <w:t>т применять шумомеры по ГОСТ 17187-81 и октавные фильтры по ГОСТ 17168-82.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Допускается применение другой измерительной и регистрирующей аппаратуры при соответствии электроакустической характеристики требованиям ГОСТ 17187-81.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Измерительная аппаратура должна соответствовать 1 или 2-му классу точности.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 (Измененная редакция, Изм. N 1, 2).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2.1.2 Перед началом и после</w:t>
      </w:r>
      <w:r>
        <w:rPr>
          <w:sz w:val="24"/>
        </w:rPr>
        <w:t xml:space="preserve"> </w:t>
      </w:r>
      <w:r>
        <w:rPr>
          <w:sz w:val="24"/>
        </w:rPr>
        <w:t>окончания измерений производят калибровку приборов эталонными калибраторами для внесения поправки в результаты измерений.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</w:t>
      </w:r>
      <w:r>
        <w:rPr>
          <w:b/>
          <w:sz w:val="24"/>
        </w:rPr>
        <w:t> (Измененная редакция, Изм. N 2).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2.2 Условия проведения измерений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2.2.1 В зависимости от назначения судна контроль шума должен производиться на основном спецификационном режиме: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режиме полного хода (ходовом режиме при спецификационной частоте вращения главных двигателей; для судов внутреннего плавания - не менее 95% от спецификационной частоты вращения);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производственном режиме.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2.2.2 Измерения на ходовом режиме следует производить при движении судна прямым курсом (максимальное отк</w:t>
      </w:r>
      <w:r>
        <w:rPr>
          <w:sz w:val="24"/>
        </w:rPr>
        <w:t>лонение руля +/-3 град.), при волнении не выше 3 баллов для судов водоизмещением до 5000 т и 4 баллов - для судов водоизмещением свыше 5000 т, при полной загрузке судна или в балласте.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2.2.3 На судах технического и промыслового флота измерения следует выполнять на ходовом в производственном режиме при спецификационных условиях. В производственных помещениях и на рабочих местах на открытых палубах измерения выполняют в соответствии с требованиями ГОСТ 12.1.</w:t>
      </w:r>
      <w:r>
        <w:rPr>
          <w:sz w:val="24"/>
        </w:rPr>
        <w:t>050-86.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2.2.4 Измерения проводят в полност</w:t>
      </w:r>
      <w:r>
        <w:rPr>
          <w:sz w:val="24"/>
        </w:rPr>
        <w:t>ью оборудованных помещениях (разрешается отсутствие мягкой экипировки, что не должно учитываться при обработке результатов измерений), при закрытых дверях и иллюминаторах, включенных на полную расчетную производительность, системах вентиляции и кондиционирования воздуха. Количество людей в помещении, не считая выполняющих измерения операторов, должно быть не более штатного.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Во время проведения измерений следует исключить помехи непроизводственного характера (разговоры, музыка, стук и т.п.); уровень про</w:t>
      </w:r>
      <w:r>
        <w:rPr>
          <w:sz w:val="24"/>
        </w:rPr>
        <w:t>изводственных помех учитывается в соответствии с требованиями стандарта ИСО 2923-75.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Поправки для учета уровня помех приведены в приложении 1.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2.2.5 В рулевых, штурманских и радиорубках при измерениях должно быть включено электрорадионавигационное оборудование.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Допускается проводить измерения с открытыми с подветренной стороны дверями и иллюминаторами, если это обычно</w:t>
      </w:r>
      <w:r>
        <w:rPr>
          <w:sz w:val="24"/>
        </w:rPr>
        <w:t xml:space="preserve"> </w:t>
      </w:r>
      <w:r>
        <w:rPr>
          <w:sz w:val="24"/>
        </w:rPr>
        <w:t>принято.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На крыльях ходового мостика измерения проводят с подветренного борта.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 2.2.1-2.2.5 (Измененная редакция, Изм</w:t>
      </w:r>
      <w:r>
        <w:rPr>
          <w:b/>
          <w:sz w:val="24"/>
        </w:rPr>
        <w:t>. N 2).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2.2.6 На рабочих местах в трюмах и на открытой палубе при измерениях должна быть включена система вентиляции трюмов.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 (Введен дополнительно, Изм. N 2).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2.3 Проведение измерений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2.3.1 В машинных отделениях шум измеряют на основных, рабочих местах, в зонах обслуживания двигателей, механизмов и устройств энергетической установки судна, а также в районах основных источников шума.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 (Измененная редакция, Изм. N 2).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2.3.2 В зонах обслуживания главных и вспомогательных двигателей</w:t>
      </w:r>
      <w:r>
        <w:rPr>
          <w:sz w:val="24"/>
        </w:rPr>
        <w:t xml:space="preserve"> точки измерений должны быть расположены с двух сторон двигателей в средней их части на расстоянии 1 м от излучающей поверхности двигателей на каждом ярусе, а также у воздухозаборного устройства двигателей. При наличии двух или более двигателей и расстоянии между ними меньше 2 м измерения производятся между двигателями.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2.3.3 В машинных отделениях площадью до 15 кв. м измерения</w:t>
      </w:r>
      <w:r>
        <w:rPr>
          <w:sz w:val="24"/>
        </w:rPr>
        <w:t xml:space="preserve"> </w:t>
      </w:r>
      <w:r>
        <w:rPr>
          <w:sz w:val="24"/>
        </w:rPr>
        <w:t>выполняются не менее, чем в двух точках, расположенных в средней части между двигателем и бортами.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 xml:space="preserve">    2.3.4 В изолированных </w:t>
      </w:r>
      <w:r>
        <w:rPr>
          <w:sz w:val="24"/>
        </w:rPr>
        <w:t>постах управления, производственных и служебных помещениях измерения выполняют на рабочих местах и в центре этих помещений.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</w:t>
      </w:r>
      <w:r>
        <w:rPr>
          <w:sz w:val="24"/>
        </w:rPr>
        <w:t>.3.5 В жилых, общественных и медицинских помещениях площадью до 30 кв. м измерения выполняют в центре помещения, а при площади свыше 30 кв. м - в точках с интервалами не более 7 м.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 xml:space="preserve">    Если предварительными измерениями в помещении обнаружены зоны, в которых уровень звука превосходит измеренный в указанных точках более чем на 10 дБ.А, особенно вблизи головы сидящего или лежащего </w:t>
      </w:r>
      <w:r>
        <w:rPr>
          <w:sz w:val="24"/>
        </w:rPr>
        <w:t>человека, выполняют контроль в этих зонах и зоне с максимальным значением шумовых характеристик.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2.3.6 В зонах отдыха (на спортивных площадках и открытых палубах жилой надстройки) измерения проводят в средней части зоны и в наиболее шумной точке, которую находят предварительными измерениями уровня звука.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2.3.7 При проведении измерений микрофон следует располагать на высоте 1,5 м от настила и на расстоянии 1 м от ограждающих поверхностей (борты, переборки, цистерны и т.п.), предметов насыщения (мех</w:t>
      </w:r>
      <w:r>
        <w:rPr>
          <w:sz w:val="24"/>
        </w:rPr>
        <w:t>анизмы, агрегаты и др. устройства) и на расстоянии 0,5 м от человека, проводящего измерения.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Если расстояние между ограничивающими поверхностями менее 2 м, точку измерения выбирают на половине этого расстояния.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При измерениях на открытых палубах в случае необходимости микрофон должен иметь противоветровую защиту, при этом в результаты измерений должны быть внесены коррективы в соответствии с частотной характеристикой примененного противоветрового устройства.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2.3.8 При измерении уровней шума у</w:t>
      </w:r>
      <w:r>
        <w:rPr>
          <w:sz w:val="24"/>
        </w:rPr>
        <w:t xml:space="preserve"> выхлопных и воздухозаборных устройств двигателей, систем вентиляции и кондиционирования воздуха микрофон устанавливают вне потока газа или воздуха на расстоянии 1,0 м от кромки отверстия под углом 30 град. к оси потока.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2.3.9 При измерениях шумомер должен быть включен в положение "медленно", при этом данные считывают до ближайшего целого числа; при колебаниях стрелки прибора отсчет следует производить по среднему ее положению.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 2.3.3-2.3.9 (Измененная редакция, Изм. N 2).</w:t>
      </w:r>
    </w:p>
    <w:p w:rsidR="00000000" w:rsidRDefault="006D7652">
      <w:pPr>
        <w:jc w:val="center"/>
        <w:rPr>
          <w:b/>
          <w:sz w:val="28"/>
          <w:lang w:val="en-US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b/>
          <w:sz w:val="28"/>
        </w:rPr>
        <w:t>    3 Обработка и оформ</w:t>
      </w:r>
      <w:r>
        <w:rPr>
          <w:b/>
          <w:sz w:val="28"/>
        </w:rPr>
        <w:t>ление результатов измерений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</w:r>
      <w:r>
        <w:rPr>
          <w:sz w:val="24"/>
        </w:rPr>
        <w:br/>
        <w:t>    3.1 Результаты измерений шума сопоставляют с допустимыми его уровнями.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 (Измененная редакция, Изм. N 2).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b/>
          <w:sz w:val="24"/>
        </w:rPr>
        <w:br/>
        <w:t>    3.1.1 (Исключен, Изм. N 2).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3.2 Результаты измерений должны быть оформлены протоколом испытаний, содержащим: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наименование и тип судна;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номер проекта и порядковый номер в серии;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наименование организации-проектанта и завода-строителя;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год постройки судна, порт приписки;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дату проведения испытаний;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наименование организации и фамили</w:t>
      </w:r>
      <w:r>
        <w:rPr>
          <w:sz w:val="24"/>
        </w:rPr>
        <w:t>и операторов, производивших измерения;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данные о районе проведения испытаний, глубине, силе ветра, состоянии моря (реки, озера);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информацию о загрузке судна;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сведения о режиме работы судна, энергетической установки (нагрузка и частота вращения главных двигателей, частота вращения винта, работающие дизель-генераторы), технологического и рефрижераторного оборудования;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</w:t>
      </w:r>
      <w:r>
        <w:rPr>
          <w:sz w:val="24"/>
        </w:rPr>
        <w:t>  перечень измерительной аппаратуры (наименование, тип, дату госповерки);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</w:t>
      </w:r>
      <w:r>
        <w:rPr>
          <w:sz w:val="24"/>
        </w:rPr>
        <w:t>оценку соответствия уровней шума действующим но</w:t>
      </w:r>
      <w:r>
        <w:rPr>
          <w:sz w:val="24"/>
        </w:rPr>
        <w:t>рмативам;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дополнительные данные (отступления от программы, наличие тональных или импульсных шумов и т.п.).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К протоколу прилагают таблицу с указанием мест, точек и результатов измерений.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 (Измененная редакция, Изм. N 2).</w:t>
      </w:r>
    </w:p>
    <w:p w:rsidR="00000000" w:rsidRDefault="006D7652">
      <w:pPr>
        <w:jc w:val="both"/>
        <w:rPr>
          <w:sz w:val="24"/>
          <w:lang w:val="en-US"/>
        </w:rPr>
      </w:pPr>
      <w:r>
        <w:rPr>
          <w:sz w:val="24"/>
        </w:rPr>
        <w:br/>
        <w:t>    3.3 Протокол испытаний является составной частью приемного акта судна.</w:t>
      </w:r>
    </w:p>
    <w:p w:rsidR="00000000" w:rsidRDefault="006D7652">
      <w:pPr>
        <w:jc w:val="both"/>
        <w:rPr>
          <w:b/>
          <w:sz w:val="24"/>
          <w:lang w:val="en-US"/>
        </w:rPr>
      </w:pPr>
      <w:r>
        <w:rPr>
          <w:sz w:val="24"/>
        </w:rPr>
        <w:br/>
      </w:r>
      <w:r>
        <w:rPr>
          <w:b/>
          <w:sz w:val="24"/>
        </w:rPr>
        <w:t>    3.4 (Исключен, Изм. N 2).</w:t>
      </w:r>
    </w:p>
    <w:p w:rsidR="00000000" w:rsidRDefault="006D7652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6D7652">
      <w:pPr>
        <w:pStyle w:val="H3"/>
        <w:jc w:val="center"/>
      </w:pPr>
      <w:r>
        <w:t>Приложение 1</w:t>
      </w:r>
      <w:r>
        <w:br/>
        <w:t>(справочное)</w:t>
      </w:r>
      <w:r>
        <w:br/>
      </w:r>
      <w:r>
        <w:br/>
      </w:r>
      <w:r>
        <w:br/>
        <w:t>Поправки для учета уровня помех</w:t>
      </w:r>
      <w:r>
        <w:br/>
        <w:t>(п.6.3 стандарта ИСО 2923-75)</w:t>
      </w:r>
      <w:r>
        <w:br/>
      </w:r>
      <w:r>
        <w:br/>
      </w:r>
    </w:p>
    <w:p w:rsidR="00000000" w:rsidRDefault="006D7652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6D7652">
      <w:pPr>
        <w:pStyle w:val="Aioiaue"/>
        <w:tabs>
          <w:tab w:val="clear" w:pos="9590"/>
        </w:tabs>
      </w:pPr>
      <w:r>
        <w:t>¦ Разнос</w:t>
      </w:r>
      <w:r>
        <w:t>ть между уровнем шума    ¦     Поправки к результатам      ¦</w:t>
      </w:r>
    </w:p>
    <w:p w:rsidR="00000000" w:rsidRDefault="006D7652">
      <w:pPr>
        <w:pStyle w:val="Aioiaue"/>
        <w:tabs>
          <w:tab w:val="clear" w:pos="9590"/>
        </w:tabs>
      </w:pPr>
      <w:r>
        <w:t>¦     и уровнем помех, дБ        ¦          измерений, дБ          ¦</w:t>
      </w:r>
    </w:p>
    <w:p w:rsidR="00000000" w:rsidRDefault="006D7652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  <w:r>
        <w:t xml:space="preserve">     10 и выше                             0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  <w:r>
        <w:t xml:space="preserve">       6-9                                 - 1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  <w:r>
        <w:t xml:space="preserve">       4-5                                 - 2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  <w:r>
        <w:t xml:space="preserve">        3                                  - 3</w:t>
      </w:r>
    </w:p>
    <w:p w:rsidR="00000000" w:rsidRDefault="006D7652">
      <w:pPr>
        <w:pStyle w:val="Aioiaue"/>
        <w:tabs>
          <w:tab w:val="clear" w:pos="9590"/>
        </w:tabs>
        <w:rPr>
          <w:lang w:val="en-US"/>
        </w:rPr>
      </w:pPr>
    </w:p>
    <w:p w:rsidR="00000000" w:rsidRDefault="006D7652">
      <w:pPr>
        <w:pStyle w:val="Aioiaue"/>
        <w:tabs>
          <w:tab w:val="clear" w:pos="9590"/>
        </w:tabs>
        <w:rPr>
          <w:lang w:val="en-US"/>
        </w:rPr>
      </w:pPr>
    </w:p>
    <w:p w:rsidR="00000000" w:rsidRDefault="006D7652">
      <w:pPr>
        <w:pStyle w:val="Aioiaue"/>
        <w:tabs>
          <w:tab w:val="clear" w:pos="9590"/>
        </w:tabs>
        <w:rPr>
          <w:lang w:val="en-US"/>
        </w:rPr>
      </w:pP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H3"/>
        <w:jc w:val="center"/>
      </w:pPr>
      <w:r>
        <w:t>Приложение 2</w:t>
      </w:r>
      <w:r>
        <w:br/>
        <w:t>(справочное)</w:t>
      </w:r>
      <w:r>
        <w:br/>
      </w:r>
      <w:r>
        <w:br/>
      </w:r>
      <w:r>
        <w:br/>
        <w:t>Соответствие требований ГОСТ 12.1.020-79</w:t>
      </w:r>
      <w:r>
        <w:br/>
        <w:t>требованиям СТ СЭВ 5710-86</w:t>
      </w:r>
      <w:r>
        <w:br/>
      </w:r>
      <w:r>
        <w:br/>
      </w:r>
    </w:p>
    <w:p w:rsidR="00000000" w:rsidRDefault="006D7652">
      <w:pPr>
        <w:pStyle w:val="Aioiaue"/>
        <w:tabs>
          <w:tab w:val="clear" w:pos="9590"/>
        </w:tabs>
      </w:pPr>
      <w:r>
        <w:t>+--------------------</w:t>
      </w:r>
      <w:r>
        <w:t>----------------------------------------------+</w:t>
      </w:r>
    </w:p>
    <w:p w:rsidR="00000000" w:rsidRDefault="006D7652">
      <w:pPr>
        <w:pStyle w:val="Aioiaue"/>
        <w:tabs>
          <w:tab w:val="clear" w:pos="9590"/>
        </w:tabs>
      </w:pPr>
      <w:r>
        <w:t>¦            ГОСТ 12.1.020-79              ¦  СТ СЭВ 5710-86       ¦</w:t>
      </w:r>
    </w:p>
    <w:p w:rsidR="00000000" w:rsidRDefault="006D7652">
      <w:pPr>
        <w:pStyle w:val="Aioiaue"/>
        <w:tabs>
          <w:tab w:val="clear" w:pos="9590"/>
        </w:tabs>
      </w:pPr>
      <w:r>
        <w:t>+------------------------------------------+-----------------------¦</w:t>
      </w:r>
    </w:p>
    <w:p w:rsidR="00000000" w:rsidRDefault="006D7652">
      <w:pPr>
        <w:pStyle w:val="Aioiaue"/>
        <w:tabs>
          <w:tab w:val="clear" w:pos="9590"/>
        </w:tabs>
      </w:pPr>
      <w:r>
        <w:t>¦ Пункт ¦      Содержание требований       ¦ Пункт ¦  Содержание   ¦</w:t>
      </w:r>
    </w:p>
    <w:p w:rsidR="00000000" w:rsidRDefault="006D7652">
      <w:pPr>
        <w:pStyle w:val="Aioiaue"/>
        <w:tabs>
          <w:tab w:val="clear" w:pos="9590"/>
        </w:tabs>
      </w:pPr>
      <w:r>
        <w:t>¦       ¦                                  ¦       ¦  требований   ¦</w:t>
      </w:r>
    </w:p>
    <w:p w:rsidR="00000000" w:rsidRDefault="006D7652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pStyle w:val="Aioiaue"/>
        <w:tabs>
          <w:tab w:val="clear" w:pos="9590"/>
        </w:tabs>
      </w:pPr>
      <w:r>
        <w:t xml:space="preserve">  1.1    Точность метода контроля согласно     -           -</w:t>
      </w:r>
    </w:p>
    <w:p w:rsidR="00000000" w:rsidRDefault="006D7652">
      <w:pPr>
        <w:pStyle w:val="Aioiaue"/>
        <w:tabs>
          <w:tab w:val="clear" w:pos="9590"/>
        </w:tabs>
      </w:pPr>
      <w:r>
        <w:t xml:space="preserve">         ГОСТ 23941-79 должна быть оценена</w:t>
      </w:r>
    </w:p>
    <w:p w:rsidR="00000000" w:rsidRDefault="006D7652">
      <w:pPr>
        <w:pStyle w:val="Aioiaue"/>
        <w:tabs>
          <w:tab w:val="clear" w:pos="9590"/>
        </w:tabs>
      </w:pPr>
      <w:r>
        <w:t xml:space="preserve">         средн</w:t>
      </w:r>
      <w:r>
        <w:t>им квадратическим отклонением</w:t>
      </w:r>
    </w:p>
    <w:p w:rsidR="00000000" w:rsidRDefault="006D7652">
      <w:pPr>
        <w:pStyle w:val="Aioiaue"/>
        <w:tabs>
          <w:tab w:val="clear" w:pos="9590"/>
        </w:tabs>
      </w:pPr>
      <w:r>
        <w:t xml:space="preserve">         результата измерения</w:t>
      </w:r>
    </w:p>
    <w:p w:rsidR="00000000" w:rsidRDefault="006D7652">
      <w:pPr>
        <w:pStyle w:val="Aioiaue"/>
        <w:tabs>
          <w:tab w:val="clear" w:pos="9590"/>
        </w:tabs>
      </w:pPr>
    </w:p>
    <w:p w:rsidR="00000000" w:rsidRDefault="006D7652">
      <w:pPr>
        <w:jc w:val="both"/>
        <w:rPr>
          <w:b/>
          <w:lang w:val="en-US"/>
        </w:rPr>
      </w:pPr>
      <w:r>
        <w:rPr>
          <w:b/>
        </w:rPr>
        <w:t>     (Введено дополнительно, Изм. N 2).</w:t>
      </w:r>
    </w:p>
    <w:p w:rsidR="00000000" w:rsidRDefault="006D7652">
      <w:pPr>
        <w:jc w:val="both"/>
      </w:pPr>
      <w:r>
        <w:br/>
      </w:r>
      <w:r>
        <w:br/>
      </w: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652"/>
    <w:rsid w:val="006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1811</Words>
  <Characters>10325</Characters>
  <Application>Microsoft Office Word</Application>
  <DocSecurity>0</DocSecurity>
  <Lines>86</Lines>
  <Paragraphs>24</Paragraphs>
  <ScaleCrop>false</ScaleCrop>
  <Company> 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