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E557B">
      <w:pPr>
        <w:ind w:left="0" w:firstLine="284"/>
        <w:jc w:val="right"/>
      </w:pPr>
      <w:bookmarkStart w:id="0" w:name="_GoBack"/>
      <w:bookmarkEnd w:id="0"/>
      <w:r>
        <w:t>ГОСТ 12.2.037—78</w:t>
      </w:r>
    </w:p>
    <w:p w:rsidR="00000000" w:rsidRDefault="00BE557B">
      <w:pPr>
        <w:ind w:left="0" w:firstLine="284"/>
        <w:jc w:val="right"/>
      </w:pPr>
    </w:p>
    <w:p w:rsidR="00000000" w:rsidRDefault="00BE557B">
      <w:pPr>
        <w:ind w:left="0" w:firstLine="284"/>
        <w:jc w:val="right"/>
      </w:pPr>
    </w:p>
    <w:p w:rsidR="00000000" w:rsidRDefault="00BE557B">
      <w:pPr>
        <w:ind w:left="0" w:firstLine="284"/>
        <w:jc w:val="center"/>
      </w:pPr>
      <w:r>
        <w:t xml:space="preserve">УДК 614.843:658.382.3:006.354                                       Группа Т58 </w:t>
      </w:r>
    </w:p>
    <w:p w:rsidR="00000000" w:rsidRDefault="00BE557B">
      <w:pPr>
        <w:ind w:left="0" w:firstLine="284"/>
        <w:jc w:val="center"/>
      </w:pPr>
    </w:p>
    <w:p w:rsidR="00000000" w:rsidRDefault="00BE557B">
      <w:pPr>
        <w:ind w:left="0" w:firstLine="284"/>
        <w:jc w:val="center"/>
      </w:pPr>
      <w:r>
        <w:t>ГОСУДАРСТВЕННЫЙ СТАНДАРТ СОЮЗА ССР</w:t>
      </w:r>
    </w:p>
    <w:p w:rsidR="00000000" w:rsidRDefault="00BE557B">
      <w:pPr>
        <w:ind w:left="0" w:firstLine="284"/>
        <w:jc w:val="center"/>
        <w:rPr>
          <w:b/>
        </w:rPr>
      </w:pPr>
    </w:p>
    <w:p w:rsidR="00000000" w:rsidRDefault="00BE557B">
      <w:pPr>
        <w:ind w:left="0" w:firstLine="284"/>
        <w:jc w:val="center"/>
        <w:rPr>
          <w:b/>
        </w:rPr>
      </w:pPr>
      <w:r>
        <w:rPr>
          <w:b/>
        </w:rPr>
        <w:t xml:space="preserve">Система стандартов безопасности труда </w:t>
      </w:r>
    </w:p>
    <w:p w:rsidR="00000000" w:rsidRDefault="00BE557B">
      <w:pPr>
        <w:ind w:left="0" w:firstLine="284"/>
        <w:jc w:val="center"/>
        <w:rPr>
          <w:b/>
        </w:rPr>
      </w:pPr>
      <w:r>
        <w:rPr>
          <w:b/>
        </w:rPr>
        <w:t xml:space="preserve">ТЕХНИКА ПОЖАРНАЯ </w:t>
      </w:r>
    </w:p>
    <w:p w:rsidR="00000000" w:rsidRDefault="00BE557B">
      <w:pPr>
        <w:ind w:left="0" w:firstLine="284"/>
        <w:jc w:val="center"/>
        <w:rPr>
          <w:b/>
        </w:rPr>
      </w:pPr>
      <w:r>
        <w:rPr>
          <w:b/>
        </w:rPr>
        <w:t>Требования безопасности</w:t>
      </w:r>
    </w:p>
    <w:p w:rsidR="00000000" w:rsidRDefault="00BE557B">
      <w:pPr>
        <w:ind w:left="0" w:firstLine="284"/>
        <w:jc w:val="center"/>
      </w:pPr>
    </w:p>
    <w:p w:rsidR="00000000" w:rsidRDefault="00BE557B">
      <w:pPr>
        <w:ind w:left="0" w:firstLine="284"/>
        <w:jc w:val="center"/>
      </w:pPr>
      <w:r>
        <w:rPr>
          <w:lang w:val="en-US"/>
        </w:rPr>
        <w:t xml:space="preserve">Occupational safety standards system. </w:t>
      </w:r>
    </w:p>
    <w:p w:rsidR="00000000" w:rsidRDefault="00BE557B">
      <w:pPr>
        <w:ind w:left="0" w:firstLine="284"/>
        <w:jc w:val="center"/>
      </w:pPr>
      <w:r>
        <w:rPr>
          <w:lang w:val="en-US"/>
        </w:rPr>
        <w:t>Fire engineering. Safety requirements</w:t>
      </w:r>
    </w:p>
    <w:p w:rsidR="00000000" w:rsidRDefault="00BE557B">
      <w:pPr>
        <w:ind w:left="0" w:firstLine="284"/>
      </w:pPr>
    </w:p>
    <w:p w:rsidR="00000000" w:rsidRDefault="00BE557B">
      <w:pPr>
        <w:ind w:left="0" w:firstLine="284"/>
        <w:jc w:val="right"/>
      </w:pPr>
      <w:r>
        <w:t>Дата введения 01.01.80</w:t>
      </w:r>
    </w:p>
    <w:p w:rsidR="00000000" w:rsidRDefault="00BE557B">
      <w:pPr>
        <w:ind w:left="0" w:firstLine="284"/>
      </w:pPr>
    </w:p>
    <w:p w:rsidR="00000000" w:rsidRDefault="00BE557B">
      <w:pPr>
        <w:ind w:left="0" w:firstLine="284"/>
      </w:pPr>
      <w:r>
        <w:t>Настоящий стандарт распространяется на пожарную технику и устанавливает требования безопасности к ней и к контролю их выполнения.</w:t>
      </w:r>
    </w:p>
    <w:p w:rsidR="00000000" w:rsidRDefault="00BE557B">
      <w:pPr>
        <w:ind w:left="0" w:firstLine="284"/>
      </w:pPr>
      <w:r>
        <w:t>Стандарт не</w:t>
      </w:r>
      <w:r>
        <w:rPr>
          <w:b/>
        </w:rPr>
        <w:t xml:space="preserve"> </w:t>
      </w:r>
      <w:r>
        <w:t>распространяется на:</w:t>
      </w:r>
    </w:p>
    <w:p w:rsidR="00000000" w:rsidRDefault="00BE557B">
      <w:pPr>
        <w:ind w:left="0" w:firstLine="284"/>
      </w:pPr>
      <w:r>
        <w:t>установки пожаротушения и средства пожарной и охранно-пожарной сигнализации и связи;</w:t>
      </w:r>
    </w:p>
    <w:p w:rsidR="00000000" w:rsidRDefault="00BE557B">
      <w:pPr>
        <w:ind w:left="0" w:firstLine="284"/>
      </w:pPr>
      <w:r>
        <w:t>средства индивидуальной защиты,</w:t>
      </w:r>
    </w:p>
    <w:p w:rsidR="00000000" w:rsidRDefault="00BE557B">
      <w:pPr>
        <w:ind w:left="0" w:firstLine="284"/>
      </w:pPr>
      <w:r>
        <w:t>пожарные поезда, суда, вертолеты и самолеты.</w:t>
      </w:r>
    </w:p>
    <w:p w:rsidR="00000000" w:rsidRDefault="00BE557B">
      <w:pPr>
        <w:ind w:left="0" w:firstLine="284"/>
      </w:pPr>
      <w:r>
        <w:rPr>
          <w:b/>
        </w:rPr>
        <w:t>(Измененная редакция, Изм. № 2).</w:t>
      </w:r>
    </w:p>
    <w:p w:rsidR="00000000" w:rsidRDefault="00BE557B">
      <w:pPr>
        <w:ind w:left="0" w:firstLine="284"/>
      </w:pPr>
    </w:p>
    <w:p w:rsidR="00000000" w:rsidRDefault="00BE557B">
      <w:pPr>
        <w:ind w:left="0" w:firstLine="284"/>
      </w:pPr>
      <w:r>
        <w:rPr>
          <w:b/>
        </w:rPr>
        <w:t>1. ТРЕБОВАНИЯ БЕЗОПАСНОСТИ</w:t>
      </w:r>
    </w:p>
    <w:p w:rsidR="00000000" w:rsidRDefault="00BE557B">
      <w:pPr>
        <w:ind w:left="0" w:firstLine="284"/>
      </w:pPr>
    </w:p>
    <w:p w:rsidR="00000000" w:rsidRDefault="00BE557B">
      <w:pPr>
        <w:ind w:left="0" w:firstLine="284"/>
      </w:pPr>
      <w:r>
        <w:t>1.1. Общие требования</w:t>
      </w:r>
    </w:p>
    <w:p w:rsidR="00000000" w:rsidRDefault="00BE557B">
      <w:pPr>
        <w:ind w:left="0" w:firstLine="284"/>
      </w:pPr>
      <w:r>
        <w:t>1.1.1. Пожарная техника должна соответс</w:t>
      </w:r>
      <w:r>
        <w:t xml:space="preserve">твовать требованиям ГОСТ 12.2.003—91, ГОСТ 12.4.009—83 и настоящего стандарта. </w:t>
      </w:r>
    </w:p>
    <w:p w:rsidR="00000000" w:rsidRDefault="00BE557B">
      <w:pPr>
        <w:ind w:left="0" w:firstLine="284"/>
      </w:pPr>
      <w:r>
        <w:t xml:space="preserve">1.1.2. Требования безопасности к пожарной технике конкретного вида должны быть установлены в стандартах или технических условиях, а также в инструкциях по эксплуатации на эти виды пожарной техники. </w:t>
      </w:r>
    </w:p>
    <w:p w:rsidR="00000000" w:rsidRDefault="00BE557B">
      <w:pPr>
        <w:ind w:left="0" w:firstLine="284"/>
        <w:rPr>
          <w:b/>
        </w:rPr>
      </w:pPr>
      <w:r>
        <w:rPr>
          <w:b/>
        </w:rPr>
        <w:t xml:space="preserve">(Измененная редакция, Изм. № 1). </w:t>
      </w:r>
    </w:p>
    <w:p w:rsidR="00000000" w:rsidRDefault="00BE557B">
      <w:pPr>
        <w:ind w:left="0" w:firstLine="284"/>
      </w:pPr>
      <w:r>
        <w:rPr>
          <w:b/>
        </w:rPr>
        <w:t xml:space="preserve">1.1.3. (Исключен, Изм. </w:t>
      </w:r>
      <w:r>
        <w:rPr>
          <w:b/>
          <w:i/>
        </w:rPr>
        <w:t>№</w:t>
      </w:r>
      <w:r>
        <w:rPr>
          <w:b/>
        </w:rPr>
        <w:t xml:space="preserve"> 1).</w:t>
      </w:r>
    </w:p>
    <w:p w:rsidR="00000000" w:rsidRDefault="00BE557B">
      <w:pPr>
        <w:ind w:left="0" w:firstLine="284"/>
      </w:pPr>
      <w:r>
        <w:t>1.1.4. Соответствие пожарной техники требованиям безопасности следует проверять при приемочных и квалификационных испытаниях по ГОСТ 15.001—88.</w:t>
      </w:r>
    </w:p>
    <w:p w:rsidR="00000000" w:rsidRDefault="00BE557B">
      <w:pPr>
        <w:ind w:left="0" w:firstLine="284"/>
      </w:pPr>
      <w:r>
        <w:rPr>
          <w:b/>
        </w:rPr>
        <w:t>(Измененная редакция, Изм.</w:t>
      </w:r>
      <w:r>
        <w:rPr>
          <w:b/>
        </w:rPr>
        <w:t xml:space="preserve"> № 1).</w:t>
      </w:r>
    </w:p>
    <w:p w:rsidR="00000000" w:rsidRDefault="00BE557B">
      <w:pPr>
        <w:ind w:left="0" w:firstLine="284"/>
      </w:pPr>
      <w:r>
        <w:t xml:space="preserve">1.15. Методы испытаний—по стандартам или техническим условиям на пожарную технику конкретного вида. </w:t>
      </w:r>
    </w:p>
    <w:p w:rsidR="00000000" w:rsidRDefault="00BE557B">
      <w:pPr>
        <w:ind w:left="0" w:firstLine="284"/>
      </w:pPr>
      <w:r>
        <w:rPr>
          <w:b/>
        </w:rPr>
        <w:t>(Измененная редакция, Изм. №1,2).</w:t>
      </w:r>
    </w:p>
    <w:p w:rsidR="00000000" w:rsidRDefault="00BE557B">
      <w:pPr>
        <w:ind w:left="0" w:firstLine="284"/>
      </w:pPr>
      <w:r>
        <w:t>1.1.6. В местах проведения испытаний должны быть установлены предупреждающие знаки «Осторожно! Прочие опасности» по ГОСТ 124026—76 и поясняющая надпись «Идут испытания», а на рабочих местах испытателей—вывешены инструкции и пра вила безопасности.</w:t>
      </w:r>
    </w:p>
    <w:p w:rsidR="00000000" w:rsidRDefault="00BE557B">
      <w:pPr>
        <w:ind w:left="0" w:firstLine="284"/>
      </w:pPr>
      <w:r>
        <w:rPr>
          <w:b/>
        </w:rPr>
        <w:t>(Измененная редакция, Изм. № 1).</w:t>
      </w:r>
    </w:p>
    <w:p w:rsidR="00000000" w:rsidRDefault="00BE557B">
      <w:pPr>
        <w:ind w:left="0" w:firstLine="284"/>
      </w:pPr>
      <w:r>
        <w:t>1.2. Требования безопасности к пожарным машинам</w:t>
      </w:r>
    </w:p>
    <w:p w:rsidR="00000000" w:rsidRDefault="00BE557B">
      <w:pPr>
        <w:ind w:left="0" w:firstLine="284"/>
      </w:pPr>
      <w:r>
        <w:t>1.2.1. Конструкция и компоновка пожарных м</w:t>
      </w:r>
      <w:r>
        <w:t>ашин, монтируемых на колесном или гусеничном шасси, не должна снижать показателей безопасности базовой машины.</w:t>
      </w:r>
    </w:p>
    <w:p w:rsidR="00000000" w:rsidRDefault="00BE557B">
      <w:pPr>
        <w:ind w:left="0" w:firstLine="284"/>
      </w:pPr>
      <w:r>
        <w:t>1.2.2. Устройство пожарных машин (размещение агрегатов, си стем управления, пожарно-технического вооружения, боевого расчета и др.) должно обеспечивать безопасность выполнения тактических задач при тушении пожара, а также безопасность во время движения, при техническом обслуживании и ремонте. Схема раз мещения и узлы крепления пожарно-технического вооружения должны обеспечивать надежность его фикса</w:t>
      </w:r>
      <w:r>
        <w:t xml:space="preserve">ции, оперативность боевого развертывания, </w:t>
      </w:r>
      <w:r>
        <w:lastRenderedPageBreak/>
        <w:t>удобство и безопасность при съеме и установке.</w:t>
      </w:r>
    </w:p>
    <w:p w:rsidR="00000000" w:rsidRDefault="00BE557B">
      <w:pPr>
        <w:ind w:left="0" w:firstLine="284"/>
      </w:pPr>
      <w:r>
        <w:t>1.2.3. Число внешних световых приборов общего назначения пожарных автомобилей, тракторов и прицепов, цвет и расположе ние — по ГОСТ 8769—75.</w:t>
      </w:r>
    </w:p>
    <w:p w:rsidR="00000000" w:rsidRDefault="00BE557B">
      <w:pPr>
        <w:ind w:left="0" w:firstLine="284"/>
      </w:pPr>
      <w:r>
        <w:t>Число и цвет проблесковых маячков пожарных автомобилей— по ГОСТ 21392—90.</w:t>
      </w:r>
    </w:p>
    <w:p w:rsidR="00000000" w:rsidRDefault="00BE557B">
      <w:pPr>
        <w:ind w:left="0" w:firstLine="284"/>
      </w:pPr>
      <w:r>
        <w:t>Внешние специальные осветительные фонари—по стандартам или техническим условиям на пожарные машины конкретных типов.</w:t>
      </w:r>
    </w:p>
    <w:p w:rsidR="00000000" w:rsidRDefault="00BE557B">
      <w:pPr>
        <w:ind w:left="0" w:firstLine="284"/>
      </w:pPr>
      <w:r>
        <w:t>1.2.4 Сигнально-информативная окраска пожарных автомоби лей, тракторов и прицепов должна со</w:t>
      </w:r>
      <w:r>
        <w:t>ответствовать требованиям ГОСТ 21392—90 со следующим дополнением: выступающие и перемещающиеся части, представляющие опасность при обслуживании, должны быть окрашены полосами чередующихся красного и белого цветов с соотношением ширины 1:1 и в соответствии с нормативно-технической документацией на цветографические схемы.</w:t>
      </w:r>
    </w:p>
    <w:p w:rsidR="00000000" w:rsidRDefault="00BE557B">
      <w:pPr>
        <w:ind w:left="0" w:firstLine="284"/>
      </w:pPr>
      <w:r>
        <w:t>Наружная окраска защитных кожухов агрегатов должна соответствовать цвету интерьера мест их установки. Внутренняя окраска кожухов должна иметь сигнальный цвет по ГОСТ 12.4.026—76.</w:t>
      </w:r>
    </w:p>
    <w:p w:rsidR="00000000" w:rsidRDefault="00BE557B">
      <w:pPr>
        <w:ind w:left="0" w:firstLine="284"/>
      </w:pPr>
      <w:r>
        <w:t>1.2.5. Спец</w:t>
      </w:r>
      <w:r>
        <w:t>иальный звуковой сигнал пожарных автомобилей по ГОСТ 21392—90.</w:t>
      </w:r>
    </w:p>
    <w:p w:rsidR="00000000" w:rsidRDefault="00BE557B">
      <w:pPr>
        <w:ind w:left="0" w:firstLine="284"/>
      </w:pPr>
      <w:r>
        <w:t>1.2.6. Конструкция кабины водителя и салона боевого расчета должна обеспечивать поддержание температуры воздуха внутри кабины и в салоне на уровне требований нормативно-технической документации на конкретные типы пожарных машин.</w:t>
      </w:r>
    </w:p>
    <w:p w:rsidR="00000000" w:rsidRDefault="00BE557B">
      <w:pPr>
        <w:ind w:left="0" w:firstLine="284"/>
      </w:pPr>
      <w:r>
        <w:t>1.2.7. Кабина водителя пожарных автомобилей, монтируемых на базе грузовых автомобилей,—по ОСТ 37.001.413—86.</w:t>
      </w:r>
    </w:p>
    <w:p w:rsidR="00000000" w:rsidRDefault="00BE557B">
      <w:pPr>
        <w:ind w:left="0" w:firstLine="284"/>
      </w:pPr>
      <w:r>
        <w:t>1.2.8. Содержание вредных примесей в кабине водителя и салоне боевого расчета не должно превышать предельно доп</w:t>
      </w:r>
      <w:r>
        <w:t>устимых концентраций, установленных ГОСТ 12.1.005—88.</w:t>
      </w:r>
    </w:p>
    <w:p w:rsidR="00000000" w:rsidRDefault="00BE557B">
      <w:pPr>
        <w:ind w:left="0" w:firstLine="284"/>
      </w:pPr>
      <w:r>
        <w:t>Примечание.   Указанное требование должно выполняться при условии, что содержание вредных примесей в окружающей среде не превышает предельно допустимых концентраций.</w:t>
      </w:r>
    </w:p>
    <w:p w:rsidR="00000000" w:rsidRDefault="00BE557B">
      <w:pPr>
        <w:ind w:left="0" w:firstLine="284"/>
      </w:pPr>
      <w:r>
        <w:t>1.2.9. Выхлоп отработанных газов не должен быть направлен в сторону расположения органов управления насосом, автолестницей и др.</w:t>
      </w:r>
    </w:p>
    <w:p w:rsidR="00000000" w:rsidRDefault="00BE557B">
      <w:pPr>
        <w:ind w:left="0" w:firstLine="284"/>
      </w:pPr>
      <w:r>
        <w:t>1.2.10. Конкретные числовые значения уровней звукового давления в октавных полосах частот на рабочем месте водителя и в салоне боевого расчета пожарного автомобиля</w:t>
      </w:r>
      <w:r>
        <w:t xml:space="preserve"> или уровней звуковой мощности в октавных полосах частот, создаваемых другой пожарной техникой, должны устанавливаться в стандартах или технических условиях на пожарную технику конкретного вида.</w:t>
      </w:r>
    </w:p>
    <w:p w:rsidR="00000000" w:rsidRDefault="00BE557B">
      <w:pPr>
        <w:ind w:left="0" w:firstLine="284"/>
      </w:pPr>
      <w:r>
        <w:t>1.2.11. Конкретные числовые значения вибрационных характеристик в виде ВХ-1—для водителя и в салоне боевого расчета пожарного автомобиля или в виде ВХ-2—для другой пожарной техники, не имеющей встроенных рабочих мест, должны устанавливаться в стандартах или технических условиях на пожарную технику конкретного вида в</w:t>
      </w:r>
      <w:r>
        <w:t xml:space="preserve"> соответствии с ГОСТ 12.1.012—90.</w:t>
      </w:r>
    </w:p>
    <w:p w:rsidR="00000000" w:rsidRDefault="00BE557B">
      <w:pPr>
        <w:ind w:left="0" w:firstLine="284"/>
      </w:pPr>
      <w:r>
        <w:t>1.2.12. Температура поверхностей работающих агрегатов (механизмов) внутри кабины водителя и салона боевого расчета, подверженных нагреву и доступных для прикасания, не должно превышать 45 °С.</w:t>
      </w:r>
    </w:p>
    <w:p w:rsidR="00000000" w:rsidRDefault="00BE557B">
      <w:pPr>
        <w:ind w:left="0" w:firstLine="284"/>
      </w:pPr>
      <w:r>
        <w:t>1.2.13. Двери кабины водителя и салона, а также дверцы отсеков кузова пожарных машин должны быть снабжены автоматически запирающимися замками, надежно удерживаться в закрытом и фиксироваться в открытом положениях. Дверцы должны быть оборудованы устройством, подающим сигнал на щит прибо</w:t>
      </w:r>
      <w:r>
        <w:t>ров кабины водителя об их открывании. Дверцы, открывающиеся вверх, должны фиксироваться на высоте, обеспечивающей удобство и безопасность обслуживания.</w:t>
      </w:r>
    </w:p>
    <w:p w:rsidR="00000000" w:rsidRDefault="00BE557B">
      <w:pPr>
        <w:ind w:left="0" w:firstLine="284"/>
      </w:pPr>
      <w:r>
        <w:lastRenderedPageBreak/>
        <w:t>1.2.14. Доступ к оборудованию, инструменту и пультам управления, размещенным на крышках кузовов или платформ пожарных машин, должен быть безопасным. Крыши и платформы таких</w:t>
      </w:r>
      <w:r>
        <w:rPr>
          <w:smallCaps/>
        </w:rPr>
        <w:t xml:space="preserve"> </w:t>
      </w:r>
      <w:r>
        <w:t>машин должны иметь настил с поверхностью, препятствующей скольжению, и высоту бортового ограждения у крыш кузовов не менее 100 мм.</w:t>
      </w:r>
    </w:p>
    <w:p w:rsidR="00000000" w:rsidRDefault="00BE557B">
      <w:pPr>
        <w:ind w:left="0" w:firstLine="284"/>
      </w:pPr>
      <w:r>
        <w:t>1.2.15. Пожарные машины должны быть оборудованы лестница</w:t>
      </w:r>
      <w:r>
        <w:t>ми или подножками,</w:t>
      </w:r>
      <w:r>
        <w:rPr>
          <w:b/>
        </w:rPr>
        <w:t xml:space="preserve"> </w:t>
      </w:r>
      <w:r>
        <w:t>если высота пола кабины или платформы более 400 мм от земли.</w:t>
      </w:r>
    </w:p>
    <w:p w:rsidR="00000000" w:rsidRDefault="00BE557B">
      <w:pPr>
        <w:ind w:left="0" w:firstLine="284"/>
      </w:pPr>
      <w:r>
        <w:t>В технически обоснованных случаях высота подножки или пер вой ступени лестницы может достигать 700 мм. На гусеничных машинах наличие лестниц или подножек не обязательно. Ступени лестниц и подножка должны иметь поверхность, обеспечивающую устойчивое положение ступени. Ширина ступени должна быть не менее 150, глубина—не менее</w:t>
      </w:r>
      <w:r>
        <w:rPr>
          <w:b/>
        </w:rPr>
        <w:t xml:space="preserve"> </w:t>
      </w:r>
      <w:r>
        <w:t xml:space="preserve">125 мм. Расстояние между ступенями должно быть не более 400 мм. При наличии двух и более ступеней следует </w:t>
      </w:r>
      <w:r>
        <w:t>устанавливать поручни или скобы.</w:t>
      </w:r>
    </w:p>
    <w:p w:rsidR="00000000" w:rsidRDefault="00BE557B">
      <w:pPr>
        <w:ind w:left="0" w:firstLine="284"/>
      </w:pPr>
      <w:r>
        <w:t>Пожарные машины, монтируемые на гусеничном шасси, должны иметь на всю ширину дверных проемов кабины рифленую площадку, закрывающую гусеницу на всю ее ширину.</w:t>
      </w:r>
    </w:p>
    <w:p w:rsidR="00000000" w:rsidRDefault="00BE557B">
      <w:pPr>
        <w:ind w:left="0" w:firstLine="284"/>
        <w:rPr>
          <w:b/>
        </w:rPr>
      </w:pPr>
      <w:r>
        <w:rPr>
          <w:b/>
        </w:rPr>
        <w:t xml:space="preserve">1.2.7—1.2.15 (Измененная редакция, Изм. № 1). </w:t>
      </w:r>
    </w:p>
    <w:p w:rsidR="00000000" w:rsidRDefault="00BE557B">
      <w:pPr>
        <w:ind w:left="0" w:firstLine="284"/>
      </w:pPr>
      <w:r>
        <w:rPr>
          <w:b/>
        </w:rPr>
        <w:t>1.2.16 (Исключен, Изм. № 1).</w:t>
      </w:r>
    </w:p>
    <w:p w:rsidR="00000000" w:rsidRDefault="00BE557B">
      <w:pPr>
        <w:ind w:left="0" w:firstLine="284"/>
      </w:pPr>
      <w:r>
        <w:t>1.2.17. Органы управления на рабочем месте необходимо устанавливать так, чтобы их рукоятки при любом положении рычага находились в пределах зоны досягаемости оператора с учетом обеспечения его безопасности.</w:t>
      </w:r>
    </w:p>
    <w:p w:rsidR="00000000" w:rsidRDefault="00BE557B">
      <w:pPr>
        <w:ind w:left="0" w:firstLine="284"/>
      </w:pPr>
      <w:r>
        <w:t>После прекращения воздействия на орган</w:t>
      </w:r>
      <w:r>
        <w:t xml:space="preserve">ы управления, кото рые не фиксируются в рабочем положении, они должны автоматически возвращаться в нейтральное положение. </w:t>
      </w:r>
    </w:p>
    <w:p w:rsidR="00000000" w:rsidRDefault="00BE557B">
      <w:pPr>
        <w:ind w:left="0" w:firstLine="284"/>
      </w:pPr>
      <w:r>
        <w:t xml:space="preserve">Органы управления должны быть скомпонованы с учетом установленного для пожарных машин конкретного типа порядка ручных операций, исключать лишние движения оператора. Размеры и форма органов управления, допускаемые усилия воздействия и размещение их в зоне работы оператора должны удовлетворять эргономическим требованиям ГОСТ 21752—76 и ГОСТ 21753—76. </w:t>
      </w:r>
    </w:p>
    <w:p w:rsidR="00000000" w:rsidRDefault="00BE557B">
      <w:pPr>
        <w:ind w:left="0" w:firstLine="284"/>
      </w:pPr>
      <w:r>
        <w:rPr>
          <w:b/>
        </w:rPr>
        <w:t>(Измененная редакция, Изм. № 1).</w:t>
      </w:r>
    </w:p>
    <w:p w:rsidR="00000000" w:rsidRDefault="00BE557B">
      <w:pPr>
        <w:ind w:left="0" w:firstLine="284"/>
      </w:pPr>
      <w:r>
        <w:t>1.2.</w:t>
      </w:r>
      <w:r>
        <w:t>18. Конструкция пневмо- и гидросистем, а также рабочих органов пожарных машин в случае их повреждения должна быть безопасной при обслуживании. Пневматические приводы — по ГОСТ 12.3.001—85. Гидравлические приводы и другие гидравличе ские устройства—по ГОСТ 12.2.040—79.</w:t>
      </w:r>
    </w:p>
    <w:p w:rsidR="00000000" w:rsidRDefault="00BE557B">
      <w:pPr>
        <w:ind w:left="0" w:firstLine="284"/>
      </w:pPr>
      <w:r>
        <w:t>Сосуды, работающие под давлением, должны соответствовать «Правилам устройства и безопасной эксплуатации сосудов, рабо тающих под давлением», утвержденным Госгортехнадзором СССР Требования к гидроцилиндрам—по</w:t>
      </w:r>
      <w:r>
        <w:rPr>
          <w:b/>
        </w:rPr>
        <w:t xml:space="preserve"> </w:t>
      </w:r>
      <w:r>
        <w:t>ГОСТ 16514—87.</w:t>
      </w:r>
    </w:p>
    <w:p w:rsidR="00000000" w:rsidRDefault="00BE557B">
      <w:pPr>
        <w:ind w:left="0" w:firstLine="284"/>
      </w:pPr>
      <w:r>
        <w:t>1.2.19. Устройство и</w:t>
      </w:r>
      <w:r>
        <w:t xml:space="preserve"> эксплуатация электрооборудования должны соответствовать «Правилам устройства электроустановок», «Правилам технической эксплуатации электроустановок потребителей и правилам техники безопасности при эксплуатации элек троустановок потребителей», утвержденным Госэнергонадзором, а также «Правилам безопасности при эксплуатации электроустановок пожарных автомобилей и прицепов», утвержденным МВД СССР.</w:t>
      </w:r>
    </w:p>
    <w:p w:rsidR="00000000" w:rsidRDefault="00BE557B">
      <w:pPr>
        <w:ind w:left="0" w:firstLine="284"/>
      </w:pPr>
      <w:r>
        <w:t xml:space="preserve">Электрооборудование пожарных машин должно соответствовать требованиям ГОСТ 12.2.007.0—75. </w:t>
      </w:r>
    </w:p>
    <w:p w:rsidR="00000000" w:rsidRDefault="00BE557B">
      <w:pPr>
        <w:ind w:left="0" w:firstLine="284"/>
      </w:pPr>
      <w:r>
        <w:rPr>
          <w:b/>
        </w:rPr>
        <w:t>(Измененная редакция, И</w:t>
      </w:r>
      <w:r>
        <w:rPr>
          <w:b/>
        </w:rPr>
        <w:t>зм. № 1).</w:t>
      </w:r>
    </w:p>
    <w:p w:rsidR="00000000" w:rsidRDefault="00BE557B">
      <w:pPr>
        <w:ind w:left="0" w:firstLine="284"/>
      </w:pPr>
      <w:r>
        <w:t>1.2.20. Пожарные автомобили должны быть снабжены средствами оказания первой медицинской помощи и обеспечения безопасности в соответствии с «Правилами дорожного движения», утвержденными МВД СССР, а также средствами индивидуальной защиты от поражения электрическим током. Пожарные автомобили должны быть укомплектованы двумя противооткатными упорами (башмаками).</w:t>
      </w:r>
    </w:p>
    <w:p w:rsidR="00000000" w:rsidRDefault="00BE557B">
      <w:pPr>
        <w:ind w:left="0" w:firstLine="284"/>
      </w:pPr>
      <w:r>
        <w:t>1.2.21. Не допускается выполнять реконструкцию пожарного автомобиля, предусматривающую изменение количества, номенклатуры и (или) мест размещ</w:t>
      </w:r>
      <w:r>
        <w:t>ения пожарно-технического вооружения, при отсутствии соответствующей нормативно-технической документации.</w:t>
      </w:r>
    </w:p>
    <w:p w:rsidR="00000000" w:rsidRDefault="00BE557B">
      <w:pPr>
        <w:ind w:left="0" w:firstLine="284"/>
      </w:pPr>
      <w:r>
        <w:t>1.3. Требования безопасности к огнетушителям</w:t>
      </w:r>
    </w:p>
    <w:p w:rsidR="00000000" w:rsidRDefault="00BE557B">
      <w:pPr>
        <w:ind w:left="0" w:firstLine="284"/>
      </w:pPr>
      <w:r>
        <w:t>1.3.1. Ручные и передвижные огнетушители должны:</w:t>
      </w:r>
    </w:p>
    <w:p w:rsidR="00000000" w:rsidRDefault="00BE557B">
      <w:pPr>
        <w:ind w:left="0" w:firstLine="284"/>
      </w:pPr>
      <w:r>
        <w:t>обладать, как правило, внешними признаками, способствующими опознаванию;</w:t>
      </w:r>
    </w:p>
    <w:p w:rsidR="00000000" w:rsidRDefault="00BE557B">
      <w:pPr>
        <w:ind w:left="0" w:firstLine="284"/>
      </w:pPr>
      <w:r>
        <w:t>обеспечивать удобство доставки к очагу пожара и быстроту приведения в действие;</w:t>
      </w:r>
    </w:p>
    <w:p w:rsidR="00000000" w:rsidRDefault="00BE557B">
      <w:pPr>
        <w:ind w:left="0" w:firstLine="284"/>
      </w:pPr>
      <w:r>
        <w:t>обеспечивать безопасность в режиме ожидания и в режиме пожаротушения;</w:t>
      </w:r>
    </w:p>
    <w:p w:rsidR="00000000" w:rsidRDefault="00BE557B">
      <w:pPr>
        <w:ind w:left="0" w:firstLine="284"/>
      </w:pPr>
      <w:r>
        <w:t>обеспечивать</w:t>
      </w:r>
      <w:r>
        <w:rPr>
          <w:b/>
        </w:rPr>
        <w:t xml:space="preserve"> </w:t>
      </w:r>
      <w:r>
        <w:t>возможность автоматизации (механизации) зарядки.</w:t>
      </w:r>
    </w:p>
    <w:p w:rsidR="00000000" w:rsidRDefault="00BE557B">
      <w:pPr>
        <w:ind w:left="0" w:firstLine="284"/>
      </w:pPr>
      <w:r>
        <w:t>1.3.2. На объектах класса Э</w:t>
      </w:r>
      <w:r>
        <w:t>СИБ безискровой и слабой электризации, на объектах классов Э1 и Э2 по ГОСТ 12.1.018—93 не допускается размещать и применять порошковые и СО</w:t>
      </w:r>
      <w:r>
        <w:rPr>
          <w:vertAlign w:val="subscript"/>
        </w:rPr>
        <w:t>2</w:t>
      </w:r>
      <w:r>
        <w:t>—огнетушители с раструбами из диэлектрических материалов.</w:t>
      </w:r>
    </w:p>
    <w:p w:rsidR="00000000" w:rsidRDefault="00BE557B">
      <w:pPr>
        <w:ind w:left="0" w:firstLine="284"/>
      </w:pPr>
      <w:r>
        <w:t>1.3.3. Огнетушители, предназначенные для установки на транспортных средствах (автомобилях, вездеходах, тракторах и др.), должны комплектоваться кронштейнами.</w:t>
      </w:r>
    </w:p>
    <w:p w:rsidR="00000000" w:rsidRDefault="00BE557B">
      <w:pPr>
        <w:ind w:left="0" w:firstLine="284"/>
      </w:pPr>
      <w:r>
        <w:t>Кронштейн должен удерживать огнетушитель, не закрывать своими элементами инструктивные надписи, быть безопасным в работе и удобным для установки и оперативн</w:t>
      </w:r>
      <w:r>
        <w:t>ого извлечения огнетушителя.</w:t>
      </w:r>
    </w:p>
    <w:p w:rsidR="00000000" w:rsidRDefault="00BE557B">
      <w:pPr>
        <w:ind w:left="0" w:firstLine="284"/>
      </w:pPr>
      <w:r>
        <w:t>К введению в эксплуатацию допускаются полностью заряженные и опломбированные огнетушители, снабженные биркой с указанием даты (месяц и год) зарядки и даты очередной перезарядки, контроля и технического освидетельствования.  Допускается наносить на корпус огнетушителя с противоположной стороны насадка штампельной краской технические данные, содержащиеся на бирке.</w:t>
      </w:r>
    </w:p>
    <w:p w:rsidR="00000000" w:rsidRDefault="00BE557B">
      <w:pPr>
        <w:ind w:left="0" w:firstLine="284"/>
      </w:pPr>
      <w:r>
        <w:t>На корпусе огнетушителя должны быть нанесены указания (надписи или графические изображения) о порядке приведения огнет</w:t>
      </w:r>
      <w:r>
        <w:t>ушителя в действие, индексе класса пожара по ГОСТ 27331— 87, виде огнетушащего вещества, диапазоне температур хранения (транспортирования), возможности использования для тушения электроустановок и величине предельного напряжения, а также предостережение: «Предохранять от действия прямых солнечных лучей и нагревательных приборов».</w:t>
      </w:r>
    </w:p>
    <w:p w:rsidR="00000000" w:rsidRDefault="00BE557B">
      <w:pPr>
        <w:ind w:left="0" w:firstLine="284"/>
      </w:pPr>
      <w:r>
        <w:t>Метод нанесения, цвет и величина надписей должны обеспечи вать их четкое прочтение в течение срока между очередными переосвидетельствованиями.</w:t>
      </w:r>
    </w:p>
    <w:p w:rsidR="00000000" w:rsidRDefault="00BE557B">
      <w:pPr>
        <w:ind w:left="0" w:firstLine="284"/>
      </w:pPr>
      <w:r>
        <w:rPr>
          <w:b/>
        </w:rPr>
        <w:t>1.3.1—1.3.3. (Измененная редакция, Из</w:t>
      </w:r>
      <w:r>
        <w:rPr>
          <w:b/>
        </w:rPr>
        <w:t>м. № 1, 2).</w:t>
      </w:r>
    </w:p>
    <w:p w:rsidR="00000000" w:rsidRDefault="00BE557B">
      <w:pPr>
        <w:ind w:left="0" w:firstLine="284"/>
      </w:pPr>
      <w:r>
        <w:t>1.3.4. Способы приведения в действие огнетушителей различных типов не должны иметь принципиальных отличий.</w:t>
      </w:r>
    </w:p>
    <w:p w:rsidR="00000000" w:rsidRDefault="00BE557B">
      <w:pPr>
        <w:ind w:left="0" w:firstLine="284"/>
      </w:pPr>
      <w:r>
        <w:t>Примечание.   Требование данного пункта распространяется на вновь проектируемые и модернизированные изделия.</w:t>
      </w:r>
    </w:p>
    <w:p w:rsidR="00000000" w:rsidRDefault="00BE557B">
      <w:pPr>
        <w:ind w:left="0" w:firstLine="284"/>
      </w:pPr>
      <w:r>
        <w:t>1.3.5. Запорно-пусковые устройства рычажного, кнопочного или рычажно-кнопочного типа должны обладать возможностью прерывать подачу заряда и вновь приводить огнетушитель в действие.</w:t>
      </w:r>
    </w:p>
    <w:p w:rsidR="00000000" w:rsidRDefault="00BE557B">
      <w:pPr>
        <w:ind w:left="0" w:firstLine="284"/>
      </w:pPr>
      <w:r>
        <w:t>Примечание. Требование данного пункта распространяется на вновь проектируемые и модернизированные издел</w:t>
      </w:r>
      <w:r>
        <w:t>ия.</w:t>
      </w:r>
    </w:p>
    <w:p w:rsidR="00000000" w:rsidRDefault="00BE557B">
      <w:pPr>
        <w:ind w:left="0" w:firstLine="284"/>
      </w:pPr>
      <w:r>
        <w:rPr>
          <w:b/>
        </w:rPr>
        <w:t>1.3.4, 1.3.5. (Измененная редакция, Изм. № 1).</w:t>
      </w:r>
    </w:p>
    <w:p w:rsidR="00000000" w:rsidRDefault="00BE557B">
      <w:pPr>
        <w:ind w:left="0" w:firstLine="284"/>
      </w:pPr>
      <w:r>
        <w:t>1.3.6. Усилие, необходимое для приведения огнетушителя в действие, не должно превышать 230 Н (23 кгс) при пуске, осуществляемом кистью руки, и 100 Н (10 кгс) — при нажатии большим пальцем.</w:t>
      </w:r>
    </w:p>
    <w:p w:rsidR="00000000" w:rsidRDefault="00BE557B">
      <w:pPr>
        <w:ind w:left="0" w:firstLine="284"/>
      </w:pPr>
      <w:r>
        <w:t>Устройство пуска должно четко выделяться на фоне других деталей огнетушителя.</w:t>
      </w:r>
    </w:p>
    <w:p w:rsidR="00000000" w:rsidRDefault="00BE557B">
      <w:pPr>
        <w:ind w:left="0" w:firstLine="284"/>
      </w:pPr>
      <w:r>
        <w:t>1.3.7. Огнетушители, предназначенные для доставки к месту загорания вручную, должны иметь массу не более 20 кг. Огнетушители массой более 20 кг должны быть оборудованы колесами. Величина тяговог</w:t>
      </w:r>
      <w:r>
        <w:t>о усилия для перемещения таких огнетушителей вручную по ровной горизонтальной поверхности с бетонным или асфальтным покрытием не должна превышать 250 Н (25 кгс).</w:t>
      </w:r>
    </w:p>
    <w:p w:rsidR="00000000" w:rsidRDefault="00BE557B">
      <w:pPr>
        <w:ind w:left="0" w:firstLine="284"/>
      </w:pPr>
      <w:r>
        <w:rPr>
          <w:b/>
        </w:rPr>
        <w:t>1.3.6, 1.3.7. (Измененная редакция, Изм. № 2).</w:t>
      </w:r>
    </w:p>
    <w:p w:rsidR="00000000" w:rsidRDefault="00BE557B">
      <w:pPr>
        <w:ind w:left="0" w:firstLine="284"/>
      </w:pPr>
      <w:r>
        <w:t>1.3.8. Форма и размеры запорно-пусковых устройств рычажного типа и ручек (рукояток), служащих для доставки огнетуши теля к месту загорания, должны обеспечивать удобство их захва та кистью руки.</w:t>
      </w:r>
    </w:p>
    <w:p w:rsidR="00000000" w:rsidRDefault="00BE557B">
      <w:pPr>
        <w:ind w:left="0" w:firstLine="284"/>
      </w:pPr>
      <w:r>
        <w:t>Диаметр корпусов огнетушителей вместимостью до 2 дм</w:t>
      </w:r>
      <w:r>
        <w:rPr>
          <w:vertAlign w:val="superscript"/>
        </w:rPr>
        <w:t>3</w:t>
      </w:r>
      <w:r>
        <w:t>, охватываемых кистью руки при использовании, должен быть</w:t>
      </w:r>
      <w:r>
        <w:t xml:space="preserve"> не более 90 мм.</w:t>
      </w:r>
    </w:p>
    <w:p w:rsidR="00000000" w:rsidRDefault="00BE557B">
      <w:pPr>
        <w:ind w:left="0" w:firstLine="284"/>
      </w:pPr>
      <w:r>
        <w:rPr>
          <w:b/>
        </w:rPr>
        <w:t>(Измененная редакция, Изм. № 1).</w:t>
      </w:r>
    </w:p>
    <w:p w:rsidR="00000000" w:rsidRDefault="00BE557B">
      <w:pPr>
        <w:ind w:left="0" w:firstLine="284"/>
      </w:pPr>
      <w:r>
        <w:t>1.3.9. В огнетушителях должны быть предусмотрены предохранительные устройства или другие средства обеспечения безопасности от превышения давления в корпусе сверх рабочего.</w:t>
      </w:r>
    </w:p>
    <w:p w:rsidR="00000000" w:rsidRDefault="00BE557B">
      <w:pPr>
        <w:ind w:left="0" w:firstLine="284"/>
      </w:pPr>
      <w:r>
        <w:t>1.3.10. Запорно-пусковое устройство огнетушителей всех типов должно иметь надежную фиксацию от самопроизвольного срабатывания от вибраций, сотрясений или случайного нажатия на элементы пуска.</w:t>
      </w:r>
    </w:p>
    <w:p w:rsidR="00000000" w:rsidRDefault="00BE557B">
      <w:pPr>
        <w:ind w:left="0" w:firstLine="284"/>
      </w:pPr>
      <w:r>
        <w:rPr>
          <w:b/>
        </w:rPr>
        <w:t>1.3.11. (Исключен, Изм. № 1).</w:t>
      </w:r>
    </w:p>
    <w:p w:rsidR="00000000" w:rsidRDefault="00BE557B">
      <w:pPr>
        <w:ind w:left="0" w:firstLine="284"/>
      </w:pPr>
      <w:r>
        <w:t>1.3.12. Ручные огнетушители вместимостью 5 л и более, а также передв</w:t>
      </w:r>
      <w:r>
        <w:t>ижные огнетушители должны быть оборудованы гибким шлангом.</w:t>
      </w:r>
    </w:p>
    <w:p w:rsidR="00000000" w:rsidRDefault="00BE557B">
      <w:pPr>
        <w:ind w:left="0" w:firstLine="284"/>
      </w:pPr>
      <w:r>
        <w:rPr>
          <w:b/>
        </w:rPr>
        <w:t>(Измененная редакция, Изм. № 2).</w:t>
      </w:r>
    </w:p>
    <w:p w:rsidR="00000000" w:rsidRDefault="00BE557B">
      <w:pPr>
        <w:ind w:left="0" w:firstLine="284"/>
      </w:pPr>
      <w:r>
        <w:t>1.3.13. Ручные огнетушители с зарядом массой более 5 кг должны быть устойчивыми от самоопрокидывания при установке на горизонтальной поверхности.</w:t>
      </w:r>
    </w:p>
    <w:p w:rsidR="00000000" w:rsidRDefault="00BE557B">
      <w:pPr>
        <w:ind w:left="0" w:firstLine="284"/>
      </w:pPr>
      <w:r>
        <w:rPr>
          <w:b/>
        </w:rPr>
        <w:t>(Измененная редакция, Изм. № 1, 2).</w:t>
      </w:r>
    </w:p>
    <w:p w:rsidR="00000000" w:rsidRDefault="00BE557B">
      <w:pPr>
        <w:ind w:left="0" w:firstLine="284"/>
      </w:pPr>
      <w:r>
        <w:t>1.3.14. Раструб углекислотных огнетушителей, жестко прикрепляемый к корпусу, должен обладать возможностью поворачиваться с надежной фиксацией в заданном положении.</w:t>
      </w:r>
    </w:p>
    <w:p w:rsidR="00000000" w:rsidRDefault="00BE557B">
      <w:pPr>
        <w:ind w:left="0" w:firstLine="284"/>
      </w:pPr>
      <w:r>
        <w:t>1.3.15. Узлы и детали огнетушителя, мешающие осмотру внутренней поверхност</w:t>
      </w:r>
      <w:r>
        <w:t>и корпуса, должны быть съемными.</w:t>
      </w:r>
    </w:p>
    <w:p w:rsidR="00000000" w:rsidRDefault="00BE557B">
      <w:pPr>
        <w:ind w:left="0" w:firstLine="284"/>
      </w:pPr>
      <w:r>
        <w:t>Корпуса огнетушителей (баллоны), не выдержавшие гидравлических испытаний, ремонту не подлежат.</w:t>
      </w:r>
    </w:p>
    <w:p w:rsidR="00000000" w:rsidRDefault="00BE557B">
      <w:pPr>
        <w:ind w:left="0" w:firstLine="284"/>
      </w:pPr>
      <w:r>
        <w:rPr>
          <w:b/>
        </w:rPr>
        <w:t>(Измененная редакция, Изм. № 1).</w:t>
      </w:r>
    </w:p>
    <w:p w:rsidR="00000000" w:rsidRDefault="00BE557B">
      <w:pPr>
        <w:ind w:left="0" w:firstLine="284"/>
      </w:pPr>
      <w:r>
        <w:t>1.4. Требования  безопасности  к пожарному оборудованию</w:t>
      </w:r>
    </w:p>
    <w:p w:rsidR="00000000" w:rsidRDefault="00BE557B">
      <w:pPr>
        <w:ind w:left="0" w:firstLine="284"/>
      </w:pPr>
      <w:r>
        <w:t>1.4.1. Пожарное оборудование водопроводных сетей и комплектующее оборудование должно:</w:t>
      </w:r>
    </w:p>
    <w:p w:rsidR="00000000" w:rsidRDefault="00BE557B">
      <w:pPr>
        <w:ind w:left="0" w:firstLine="284"/>
      </w:pPr>
      <w:r>
        <w:t>быть рассчитано на рабочее давление не менее 1 МПа (10 кгс/см</w:t>
      </w:r>
      <w:r>
        <w:rPr>
          <w:vertAlign w:val="superscript"/>
        </w:rPr>
        <w:t>2</w:t>
      </w:r>
      <w:r>
        <w:t>), кроме комплектующего оборудования всасывающих коммуникаций;</w:t>
      </w:r>
    </w:p>
    <w:p w:rsidR="00000000" w:rsidRDefault="00BE557B">
      <w:pPr>
        <w:ind w:left="0" w:firstLine="284"/>
      </w:pPr>
      <w:r>
        <w:t>не вызывать гидравлического удара при пуске и в рабочем режиме в пределах, опасных д</w:t>
      </w:r>
      <w:r>
        <w:t xml:space="preserve">ля обслуживающего персонала; </w:t>
      </w:r>
    </w:p>
    <w:p w:rsidR="00000000" w:rsidRDefault="00BE557B">
      <w:pPr>
        <w:ind w:left="0" w:firstLine="284"/>
      </w:pPr>
      <w:r>
        <w:t>быть установлено в безопасных местах, удобных для обслуживания.</w:t>
      </w:r>
    </w:p>
    <w:p w:rsidR="00000000" w:rsidRDefault="00BE557B">
      <w:pPr>
        <w:ind w:left="0" w:firstLine="284"/>
      </w:pPr>
      <w:r>
        <w:rPr>
          <w:b/>
        </w:rPr>
        <w:t>(Измененная редакция, Изм. № 1).</w:t>
      </w:r>
    </w:p>
    <w:p w:rsidR="00000000" w:rsidRDefault="00BE557B">
      <w:pPr>
        <w:ind w:left="0" w:firstLine="284"/>
      </w:pPr>
      <w:r>
        <w:t>1.4.2. Форма органов управления запорными устройствами, а также усилия их открывания (закрывания) должны соответствовать эргономическим требованиям.</w:t>
      </w:r>
    </w:p>
    <w:p w:rsidR="00000000" w:rsidRDefault="00BE557B">
      <w:pPr>
        <w:ind w:left="0" w:firstLine="284"/>
      </w:pPr>
      <w:r>
        <w:t>Вентили и краны должны быть снабжены указателями (стрелками) и надписями: «Открыто» и «Закрыто».</w:t>
      </w:r>
    </w:p>
    <w:p w:rsidR="00000000" w:rsidRDefault="00BE557B">
      <w:pPr>
        <w:ind w:left="0" w:firstLine="284"/>
      </w:pPr>
      <w:r>
        <w:t xml:space="preserve">1.4.3. Цвет пожарного оборудования должен соответствовать установленному в стандартах или технических условиях на оборудование конкретного </w:t>
      </w:r>
      <w:r>
        <w:t>вида.</w:t>
      </w:r>
    </w:p>
    <w:p w:rsidR="00000000" w:rsidRDefault="00BE557B">
      <w:pPr>
        <w:ind w:left="0" w:firstLine="284"/>
      </w:pPr>
      <w:r>
        <w:t>Окраска запорных вентилей внутренних пожарных кранов и пожарных трубопроводов (стояков) —по ГОСТ 14202—69.</w:t>
      </w:r>
    </w:p>
    <w:p w:rsidR="00000000" w:rsidRDefault="00BE557B">
      <w:pPr>
        <w:ind w:left="0" w:firstLine="284"/>
      </w:pPr>
      <w:r>
        <w:t>1.4.4. Герметичность запорных устройств при испытании водой должна быть не ниже 2-го класса—по ГОСТ 9544—93.</w:t>
      </w:r>
    </w:p>
    <w:p w:rsidR="00000000" w:rsidRDefault="00BE557B">
      <w:pPr>
        <w:ind w:left="0" w:firstLine="284"/>
      </w:pPr>
      <w:r>
        <w:t>1.4.5. Ручные водяные пожарные стволы, предназначенные для комплектования пожарных машин, должны быть оборудованы перекрывающими устройствами; иметь чехлы из материала, обладающего низкой теплопроводностью и быть снабжены ремнями для удобства переноски.</w:t>
      </w:r>
    </w:p>
    <w:p w:rsidR="00000000" w:rsidRDefault="00BE557B">
      <w:pPr>
        <w:ind w:left="0" w:firstLine="284"/>
      </w:pPr>
      <w:r>
        <w:t>Примечание. Требование данного пункт</w:t>
      </w:r>
      <w:r>
        <w:t>а распространяется на вновь проектируемые и модернизированные изделия.</w:t>
      </w:r>
    </w:p>
    <w:p w:rsidR="00000000" w:rsidRDefault="00BE557B">
      <w:pPr>
        <w:ind w:left="0" w:firstLine="284"/>
      </w:pPr>
      <w:r>
        <w:rPr>
          <w:b/>
        </w:rPr>
        <w:t>(Измененная редакция, Изм. № 1).</w:t>
      </w:r>
    </w:p>
    <w:p w:rsidR="00000000" w:rsidRDefault="00BE557B">
      <w:pPr>
        <w:ind w:left="0" w:firstLine="284"/>
      </w:pPr>
      <w:r>
        <w:t>1.4.6. Пожарное оборудование должно иметь маркировку с указанием рабочего давления и других данных по ГОСТ 4666—75 и ГОСТ 2171—90.</w:t>
      </w:r>
    </w:p>
    <w:p w:rsidR="00000000" w:rsidRDefault="00BE557B">
      <w:pPr>
        <w:ind w:left="0" w:firstLine="284"/>
      </w:pPr>
      <w:r>
        <w:t>Комплектующее пожарное оборудование, установка которого в схему коммуникации пожаротушения связана с направлением потока среды (пожарный гидроэлеватор, пеносмеситель и др.), должно иметь на корпусе соответствующий указатель по ГОСТ 4666—75.</w:t>
      </w:r>
    </w:p>
    <w:p w:rsidR="00000000" w:rsidRDefault="00BE557B">
      <w:pPr>
        <w:ind w:left="0" w:firstLine="284"/>
      </w:pPr>
      <w:r>
        <w:t>1.4.7. Рукавные задержки должны быть</w:t>
      </w:r>
      <w:r>
        <w:t xml:space="preserve"> прочными при нагрузке до 2000 Н (200кгс).</w:t>
      </w:r>
    </w:p>
    <w:p w:rsidR="00000000" w:rsidRDefault="00BE557B">
      <w:pPr>
        <w:ind w:left="0" w:firstLine="284"/>
      </w:pPr>
      <w:r>
        <w:t>1.5. Требования безопасности к пожарным спасательным устройствам</w:t>
      </w:r>
    </w:p>
    <w:p w:rsidR="00000000" w:rsidRDefault="00BE557B">
      <w:pPr>
        <w:ind w:left="0" w:firstLine="284"/>
      </w:pPr>
      <w:r>
        <w:t>1.5.1. Ручные пожарные лестницы должны быть прочными, удобными для захвата и переноски, а также безопасными и удобными при обслуживании.</w:t>
      </w:r>
    </w:p>
    <w:p w:rsidR="00000000" w:rsidRDefault="00BE557B">
      <w:pPr>
        <w:ind w:left="0" w:firstLine="284"/>
      </w:pPr>
      <w:r>
        <w:t>1.5.2. Параметр шероховатости поверхностей деталей деревянных лестниц не должен превышать значений, предусмотренных для 7-го класса частоты по ГОСТ 7016—82.</w:t>
      </w:r>
    </w:p>
    <w:p w:rsidR="00000000" w:rsidRDefault="00BE557B">
      <w:pPr>
        <w:ind w:left="0" w:firstLine="284"/>
      </w:pPr>
      <w:r>
        <w:t>Усилие, необходимое для раскладывания (складывания) лестницы-палки, должно быть не более 80 Н (8 кгс). Усилие,</w:t>
      </w:r>
      <w:r>
        <w:t xml:space="preserve"> необходимое для выдвигания трехколенной лестницы, должно быть не более 500 Н (50 кгс).</w:t>
      </w:r>
    </w:p>
    <w:p w:rsidR="00000000" w:rsidRDefault="00BE557B">
      <w:pPr>
        <w:ind w:left="0" w:firstLine="284"/>
      </w:pPr>
      <w:r>
        <w:t xml:space="preserve">1.5.3. Ступеньки лестниц должны быть заделаны в тетивы, а их форма должна обеспечивать устойчивое положение ступени. </w:t>
      </w:r>
    </w:p>
    <w:p w:rsidR="00000000" w:rsidRDefault="00BE557B">
      <w:pPr>
        <w:ind w:left="0" w:firstLine="284"/>
      </w:pPr>
      <w:r>
        <w:rPr>
          <w:b/>
        </w:rPr>
        <w:t>(Измененная редакция, Изм. № 1).</w:t>
      </w:r>
    </w:p>
    <w:p w:rsidR="00000000" w:rsidRDefault="00BE557B">
      <w:pPr>
        <w:ind w:left="0" w:firstLine="284"/>
      </w:pPr>
      <w:r>
        <w:t>1.5.4. Конструкция трехколесной лестницы должна обеспечивать:</w:t>
      </w:r>
    </w:p>
    <w:p w:rsidR="00000000" w:rsidRDefault="00BE557B">
      <w:pPr>
        <w:ind w:left="0" w:firstLine="284"/>
      </w:pPr>
      <w:r>
        <w:t>устойчивое, без соскальзывания, положение в местах установки на поверхностях, в том числе с твердым покрытием;</w:t>
      </w:r>
    </w:p>
    <w:p w:rsidR="00000000" w:rsidRDefault="00BE557B">
      <w:pPr>
        <w:ind w:left="0" w:firstLine="284"/>
      </w:pPr>
      <w:r>
        <w:t>боковую устойчивость лестницы, прислоненной к стене, за счет опорных элементов на ее вершине;</w:t>
      </w:r>
    </w:p>
    <w:p w:rsidR="00000000" w:rsidRDefault="00BE557B">
      <w:pPr>
        <w:ind w:left="0" w:firstLine="284"/>
      </w:pPr>
      <w:r>
        <w:t>надежн</w:t>
      </w:r>
      <w:r>
        <w:t>ое стопорение (останов), исключающее самопроизвольное соскальзывание колен на любой высоте, кратной шагу ступенек.</w:t>
      </w:r>
    </w:p>
    <w:p w:rsidR="00000000" w:rsidRDefault="00BE557B">
      <w:pPr>
        <w:ind w:left="0" w:firstLine="284"/>
      </w:pPr>
      <w:r>
        <w:t>1.5.5. На</w:t>
      </w:r>
      <w:r>
        <w:tab/>
        <w:t>корпусах дымососов с вращающимся рабочим органом должно</w:t>
      </w:r>
      <w:r>
        <w:tab/>
        <w:t>быть указано стрелкой направление вращения.</w:t>
      </w:r>
    </w:p>
    <w:p w:rsidR="00000000" w:rsidRDefault="00BE557B">
      <w:pPr>
        <w:ind w:left="0" w:firstLine="284"/>
      </w:pPr>
      <w:r>
        <w:t>Рабочий орган должен иметь защитное ограждение.</w:t>
      </w:r>
    </w:p>
    <w:p w:rsidR="00000000" w:rsidRDefault="00BE557B">
      <w:pPr>
        <w:ind w:left="0" w:firstLine="284"/>
      </w:pPr>
      <w:r>
        <w:t>1.5.6. Органы управления дымососов следует размещать в безопасных зонах. Форма и значение прикладываемого усилия—по ГОСТ 21752—76 и ГОСТ 21753—76.</w:t>
      </w:r>
    </w:p>
    <w:p w:rsidR="00000000" w:rsidRDefault="00BE557B">
      <w:pPr>
        <w:ind w:left="0" w:firstLine="284"/>
      </w:pPr>
      <w:r>
        <w:t>Рукоятка для переноски должна иметь чехол из материала, обладающего низкой теплопроводимость</w:t>
      </w:r>
      <w:r>
        <w:t>ю.</w:t>
      </w:r>
    </w:p>
    <w:p w:rsidR="00000000" w:rsidRDefault="00BE557B">
      <w:pPr>
        <w:ind w:left="0" w:firstLine="284"/>
      </w:pPr>
      <w:r>
        <w:t>1.6. Требования безопасности к ручному пожарному инструменту</w:t>
      </w:r>
    </w:p>
    <w:p w:rsidR="00000000" w:rsidRDefault="00BE557B">
      <w:pPr>
        <w:ind w:left="0" w:firstLine="284"/>
      </w:pPr>
      <w:r>
        <w:t>1.6.1. Ручные машины ударного, поступательно-вращательного и вращательного действия с пневмо-, электро- или бензоприводом, применяемые в пожарной охране в качестве ручного механизиро ванного инструмента, должны:</w:t>
      </w:r>
    </w:p>
    <w:p w:rsidR="00000000" w:rsidRDefault="00BE557B">
      <w:pPr>
        <w:ind w:left="0" w:firstLine="284"/>
      </w:pPr>
      <w:r>
        <w:t>иметь значения параметров вибрации, не превышающие уста новленных ГОСТ 17770—86;</w:t>
      </w:r>
    </w:p>
    <w:p w:rsidR="00000000" w:rsidRDefault="00BE557B">
      <w:pPr>
        <w:ind w:left="0" w:firstLine="284"/>
      </w:pPr>
      <w:r>
        <w:t>иметь параметры шума, не превышающие октавные уровни звуковой мощности, установленные в стандартах и технических условиях на машины конкретного вида;</w:t>
      </w:r>
    </w:p>
    <w:p w:rsidR="00000000" w:rsidRDefault="00BE557B">
      <w:pPr>
        <w:ind w:left="0" w:firstLine="284"/>
      </w:pPr>
      <w:r>
        <w:t>автом</w:t>
      </w:r>
      <w:r>
        <w:t>атически отключаться при прекращении воздействия на органы управления;</w:t>
      </w:r>
    </w:p>
    <w:p w:rsidR="00000000" w:rsidRDefault="00BE557B">
      <w:pPr>
        <w:ind w:left="0" w:firstLine="284"/>
      </w:pPr>
      <w:r>
        <w:t>обеспечивать работоспособность и безопасность в условиях эксплуатации.</w:t>
      </w:r>
    </w:p>
    <w:p w:rsidR="00000000" w:rsidRDefault="00BE557B">
      <w:pPr>
        <w:ind w:left="0" w:firstLine="284"/>
      </w:pPr>
      <w:r>
        <w:rPr>
          <w:b/>
        </w:rPr>
        <w:t>(Измененная редакция, Изм. № 2).</w:t>
      </w:r>
    </w:p>
    <w:p w:rsidR="00000000" w:rsidRDefault="00BE557B">
      <w:pPr>
        <w:ind w:left="0" w:firstLine="284"/>
      </w:pPr>
      <w:r>
        <w:t>1.6.2. Механизированный пожарный инструмент с бензоприводом должен быть выполнен и применен так, чтобы выхлоп отработавших газов не мешал работе оператора и не загрязнял зону его дыхания вредными примесями свыше норм, установленных ГОСТ 12.1.005—88.</w:t>
      </w:r>
    </w:p>
    <w:p w:rsidR="00000000" w:rsidRDefault="00BE557B">
      <w:pPr>
        <w:ind w:left="0" w:firstLine="284"/>
      </w:pPr>
      <w:r>
        <w:t>1.6.3. Требования безопасности к конструкции и эксплуатации ручных машин с пневмопривод</w:t>
      </w:r>
      <w:r>
        <w:t>ом — по ГОСТ 12.2.010—75, с электроприводом—по ГОСТ 12.2.013.0—91, ГОСТ 12.2.013.1—91, ГОСТ 12.2.013.5—91, ГОСТ 12.2.013.6—91, ГОСТ 12.2.013.8—91, ГОСТ 12.2.013.14—90.</w:t>
      </w:r>
    </w:p>
    <w:p w:rsidR="00000000" w:rsidRDefault="00BE557B">
      <w:pPr>
        <w:ind w:left="0" w:firstLine="284"/>
      </w:pPr>
      <w:r>
        <w:t>1.6.4. Требования безопасности к оборудованию и аппаратуре для газопламенной обработки металлов (газорезательные аппараты)—по ГОСТ 12.2.008—75. Давление горючих газов перед аппаратурой—по ГОСТ 8856—72.</w:t>
      </w:r>
    </w:p>
    <w:p w:rsidR="00000000" w:rsidRDefault="00BE557B">
      <w:pPr>
        <w:ind w:left="0" w:firstLine="284"/>
      </w:pPr>
      <w:r>
        <w:rPr>
          <w:b/>
        </w:rPr>
        <w:t>(Измененная редакция, Изм. № 2).</w:t>
      </w:r>
    </w:p>
    <w:p w:rsidR="00000000" w:rsidRDefault="00BE557B">
      <w:pPr>
        <w:ind w:left="0" w:firstLine="284"/>
      </w:pPr>
      <w:r>
        <w:t>1.6.5. Ручной немеханизированный пожарный инструмент должен иметь форму и массу, отвечающие эргономическим тр</w:t>
      </w:r>
      <w:r>
        <w:t>ебованиям.</w:t>
      </w:r>
    </w:p>
    <w:p w:rsidR="00000000" w:rsidRDefault="00BE557B">
      <w:pPr>
        <w:ind w:left="0" w:firstLine="284"/>
      </w:pPr>
      <w:r>
        <w:t>Металлические части топоров и багров должны быть надежно насажены на рукоятки. Прочность насадки должна быть установлена в стандартах и технических условиях на инструменты кон кретного вида.</w:t>
      </w:r>
    </w:p>
    <w:p w:rsidR="00000000" w:rsidRDefault="00BE557B">
      <w:pPr>
        <w:ind w:left="0" w:firstLine="284"/>
      </w:pPr>
      <w:r>
        <w:t>Деревянные рукоятки должны быть изготовлены из прочных пород древесины, не иметь признаков порчи, сучков, трещин и сколов.</w:t>
      </w:r>
    </w:p>
    <w:p w:rsidR="00000000" w:rsidRDefault="00BE557B">
      <w:pPr>
        <w:ind w:left="0" w:firstLine="284"/>
      </w:pPr>
      <w:r>
        <w:t>1.6.6. Изолирующие рукоятки ножниц для резки электроприводов должны соответствовать требованиям ГОСТ 11516—79.</w:t>
      </w:r>
    </w:p>
    <w:p w:rsidR="00000000" w:rsidRDefault="00BE557B">
      <w:pPr>
        <w:ind w:left="0" w:firstLine="284"/>
      </w:pPr>
      <w:r>
        <w:rPr>
          <w:b/>
        </w:rPr>
        <w:t>(Измененная редакция, Изм. № 1).</w:t>
      </w:r>
    </w:p>
    <w:p w:rsidR="00000000" w:rsidRDefault="00BE557B">
      <w:pPr>
        <w:ind w:left="0" w:firstLine="284"/>
      </w:pPr>
    </w:p>
    <w:p w:rsidR="00000000" w:rsidRDefault="00BE557B">
      <w:pPr>
        <w:ind w:left="0" w:firstLine="284"/>
      </w:pPr>
      <w:r>
        <w:rPr>
          <w:b/>
        </w:rPr>
        <w:t>2. КОНТРОЛЬ ВЫПОЛНЕНИЯ ТРЕБОВАНИЙ БЕЗОПАСН</w:t>
      </w:r>
      <w:r>
        <w:rPr>
          <w:b/>
        </w:rPr>
        <w:t>ОСТИ</w:t>
      </w:r>
    </w:p>
    <w:p w:rsidR="00000000" w:rsidRDefault="00BE557B">
      <w:pPr>
        <w:ind w:left="0" w:firstLine="284"/>
      </w:pPr>
    </w:p>
    <w:p w:rsidR="00000000" w:rsidRDefault="00BE557B">
      <w:pPr>
        <w:ind w:left="0" w:firstLine="284"/>
      </w:pPr>
      <w:r>
        <w:t>2.1. Порядок отбора образцов для испытаний должен соответствовать установленному в стандартах или технических условиях на пожарную технику конкретного вида.</w:t>
      </w:r>
    </w:p>
    <w:p w:rsidR="00000000" w:rsidRDefault="00BE557B">
      <w:pPr>
        <w:ind w:left="0" w:firstLine="284"/>
      </w:pPr>
      <w:r>
        <w:rPr>
          <w:b/>
        </w:rPr>
        <w:t>(Измененная редакция, Изм. № 1, 2).</w:t>
      </w:r>
    </w:p>
    <w:p w:rsidR="00000000" w:rsidRDefault="00BE557B">
      <w:pPr>
        <w:ind w:left="0" w:firstLine="284"/>
      </w:pPr>
      <w:r>
        <w:rPr>
          <w:b/>
        </w:rPr>
        <w:t>2.2. (Исключен, Изм. № 2).</w:t>
      </w:r>
    </w:p>
    <w:p w:rsidR="00000000" w:rsidRDefault="00BE557B">
      <w:pPr>
        <w:ind w:left="0" w:firstLine="284"/>
      </w:pPr>
      <w:r>
        <w:t>2.3. Допускается применять средства измерений, не указанные в настоящем стандарте, но допущенные к эксплуатации с разрешения Госстандарта СССР.</w:t>
      </w:r>
    </w:p>
    <w:p w:rsidR="00000000" w:rsidRDefault="00BE557B">
      <w:pPr>
        <w:ind w:left="0" w:firstLine="284"/>
      </w:pPr>
      <w:r>
        <w:t>2.4. Средства измерений, применяемые при испытаниях, должны быть подвергнуты поверкам и ревизиям в соответствии с ГОСТ 8.002—86.</w:t>
      </w:r>
    </w:p>
    <w:p w:rsidR="00000000" w:rsidRDefault="00BE557B">
      <w:pPr>
        <w:ind w:left="0" w:firstLine="284"/>
      </w:pPr>
      <w:r>
        <w:t>2.5. При пров</w:t>
      </w:r>
      <w:r>
        <w:t xml:space="preserve">ерке состояния воздушной среды определяют концентрацию вредных веществ по приборам с чувствительностью не менее </w:t>
      </w:r>
      <w:r>
        <w:rPr>
          <w:vertAlign w:val="superscript"/>
        </w:rPr>
        <w:t>1</w:t>
      </w:r>
      <w:r>
        <w:t>/з предельно допустимой концентрации для каждого вещества в соответствии с ГОСТ 12.1.005—88.</w:t>
      </w:r>
    </w:p>
    <w:p w:rsidR="00000000" w:rsidRDefault="00BE557B">
      <w:pPr>
        <w:ind w:left="0" w:firstLine="284"/>
      </w:pPr>
      <w:r>
        <w:t>Время отбора проб—не более 30 мин.</w:t>
      </w:r>
    </w:p>
    <w:p w:rsidR="00000000" w:rsidRDefault="00BE557B">
      <w:pPr>
        <w:ind w:left="0" w:firstLine="284"/>
      </w:pPr>
      <w:r>
        <w:t>2.6. Методы измерения параметров шума (п. 1.2.10) и вибрации должны быть установлены в стандартах или технических условиях на пожарную технику конкретного вида;</w:t>
      </w:r>
    </w:p>
    <w:p w:rsidR="00000000" w:rsidRDefault="00BE557B">
      <w:pPr>
        <w:ind w:left="0" w:firstLine="284"/>
      </w:pPr>
      <w:r>
        <w:t>на колесном шасси — по технической документации, утвержденной в установленном порядке;</w:t>
      </w:r>
    </w:p>
    <w:p w:rsidR="00000000" w:rsidRDefault="00BE557B">
      <w:pPr>
        <w:ind w:left="0" w:firstLine="284"/>
      </w:pPr>
      <w:r>
        <w:t xml:space="preserve">на гусеничном шасси—по </w:t>
      </w:r>
      <w:r>
        <w:t>ГОСТ 7057—81;</w:t>
      </w:r>
    </w:p>
    <w:p w:rsidR="00000000" w:rsidRDefault="00BE557B">
      <w:pPr>
        <w:ind w:left="0" w:firstLine="284"/>
      </w:pPr>
      <w:r>
        <w:t>для пожарной техники остальных видов—по ГОСТ 12.1.026-80 — ГОСТ 12.1.028-80.</w:t>
      </w:r>
    </w:p>
    <w:p w:rsidR="00000000" w:rsidRDefault="00BE557B">
      <w:pPr>
        <w:ind w:left="0" w:firstLine="284"/>
      </w:pPr>
      <w:r>
        <w:t>Аппаратура для измерения  параметров шума—по ГОСТ 17168—82 и ГОСТ 17187—81.</w:t>
      </w:r>
    </w:p>
    <w:p w:rsidR="00000000" w:rsidRDefault="00BE557B">
      <w:pPr>
        <w:ind w:left="0" w:firstLine="284"/>
      </w:pPr>
      <w:r>
        <w:t>Параметры вибрации ручных машин, применяемых в пожарной охране в качестве ручного механизированного инструмента, следует измерять по ГОСТ 16519—78 и стандартам на методы испытаний машин конкретных типов.</w:t>
      </w:r>
    </w:p>
    <w:p w:rsidR="00000000" w:rsidRDefault="00BE557B">
      <w:pPr>
        <w:ind w:left="0" w:firstLine="284"/>
      </w:pPr>
      <w:r>
        <w:t>Средства  измерения и  контроля  вибрации — по ГОСТ 12.4.012—83.</w:t>
      </w:r>
    </w:p>
    <w:p w:rsidR="00000000" w:rsidRDefault="00BE557B">
      <w:pPr>
        <w:ind w:left="0" w:firstLine="284"/>
      </w:pPr>
      <w:r>
        <w:t>2.7. Метод определения механических колебаний должен быть установлен в станд</w:t>
      </w:r>
      <w:r>
        <w:t>артах или технических условиях на пожарную технику конкретного вида.</w:t>
      </w:r>
    </w:p>
    <w:p w:rsidR="00000000" w:rsidRDefault="00BE557B">
      <w:pPr>
        <w:ind w:left="0" w:firstLine="284"/>
      </w:pPr>
      <w:r>
        <w:t>2.8. Методы измерения параметров пневмоприводов — по</w:t>
      </w:r>
      <w:r>
        <w:rPr>
          <w:b/>
        </w:rPr>
        <w:t xml:space="preserve"> </w:t>
      </w:r>
      <w:r>
        <w:t>ГОСТ 19862—93.</w:t>
      </w:r>
    </w:p>
    <w:p w:rsidR="00000000" w:rsidRDefault="00BE557B">
      <w:pPr>
        <w:ind w:left="0" w:firstLine="284"/>
      </w:pPr>
      <w:r>
        <w:t>2.9. Для измерения давления при периодических испытаниях следует применять манометры по ГОСТ 2405—88 с красной чертой на шкале, указывающей максимально допускаемое рабочее давление. При испытаниях на герметичность следует применять мано метры класса точности 2,5 или более точные.</w:t>
      </w:r>
    </w:p>
    <w:p w:rsidR="00000000" w:rsidRDefault="00BE557B">
      <w:pPr>
        <w:ind w:left="0" w:firstLine="284"/>
      </w:pPr>
      <w:r>
        <w:rPr>
          <w:b/>
        </w:rPr>
        <w:t>(Измененная редакция, Изм. № 1).</w:t>
      </w:r>
    </w:p>
    <w:p w:rsidR="00000000" w:rsidRDefault="00BE557B">
      <w:pPr>
        <w:ind w:left="0" w:firstLine="284"/>
      </w:pPr>
      <w:r>
        <w:t>2.10. Усилие, действующее на органы управления, следует измер</w:t>
      </w:r>
      <w:r>
        <w:t>ять динамометром или другими приборами, предназначенными для этой цели.</w:t>
      </w:r>
    </w:p>
    <w:p w:rsidR="00000000" w:rsidRDefault="00BE557B">
      <w:pPr>
        <w:ind w:left="0" w:firstLine="284"/>
      </w:pPr>
      <w:r>
        <w:t>2.11. Температуру нагретых поверхностей следует измерять термометром или термоэлектрическим преобразователем с погрешностью ±2°С. Температуру измеряют не менее чем через 1 ч работы испытываемого изделия.</w:t>
      </w:r>
    </w:p>
    <w:p w:rsidR="00000000" w:rsidRDefault="00BE557B">
      <w:pPr>
        <w:ind w:left="0" w:firstLine="284"/>
      </w:pPr>
      <w:r>
        <w:rPr>
          <w:b/>
        </w:rPr>
        <w:t>(Измененная редакция, Изм. № 1, 2).</w:t>
      </w:r>
    </w:p>
    <w:p w:rsidR="00000000" w:rsidRDefault="00BE557B">
      <w:pPr>
        <w:ind w:left="0" w:firstLine="284"/>
      </w:pPr>
    </w:p>
    <w:p w:rsidR="00000000" w:rsidRDefault="00BE557B">
      <w:pPr>
        <w:ind w:left="0" w:firstLine="284"/>
        <w:jc w:val="center"/>
      </w:pPr>
      <w:r>
        <w:rPr>
          <w:b/>
        </w:rPr>
        <w:t>ИНФОРМАЦИОННЫЕ ДАННЫЕ</w:t>
      </w:r>
    </w:p>
    <w:p w:rsidR="00000000" w:rsidRDefault="00BE557B">
      <w:pPr>
        <w:ind w:left="0" w:firstLine="284"/>
      </w:pPr>
    </w:p>
    <w:p w:rsidR="00000000" w:rsidRDefault="00BE557B">
      <w:pPr>
        <w:ind w:left="0" w:firstLine="284"/>
      </w:pPr>
      <w:r>
        <w:rPr>
          <w:b/>
        </w:rPr>
        <w:t>1. РАЗРАБОТАН И ВНЕСЕН Министерством внутренних</w:t>
      </w:r>
      <w:r>
        <w:rPr>
          <w:b/>
        </w:rPr>
        <w:tab/>
        <w:t>дел СССР</w:t>
      </w:r>
    </w:p>
    <w:p w:rsidR="00000000" w:rsidRDefault="00BE557B">
      <w:pPr>
        <w:ind w:left="0" w:firstLine="284"/>
      </w:pPr>
    </w:p>
    <w:p w:rsidR="00000000" w:rsidRDefault="00BE557B">
      <w:pPr>
        <w:ind w:left="0" w:firstLine="284"/>
      </w:pPr>
      <w:r>
        <w:rPr>
          <w:b/>
        </w:rPr>
        <w:t>РАЗРАБОТЧИКИ</w:t>
      </w:r>
    </w:p>
    <w:p w:rsidR="00000000" w:rsidRDefault="00BE557B">
      <w:pPr>
        <w:ind w:left="0" w:firstLine="284"/>
      </w:pPr>
      <w:r>
        <w:rPr>
          <w:b/>
        </w:rPr>
        <w:t>А. М. Курбатский,</w:t>
      </w:r>
      <w:r>
        <w:t xml:space="preserve"> канд. техн. наук (руководитель темы);</w:t>
      </w:r>
    </w:p>
    <w:p w:rsidR="00000000" w:rsidRDefault="00BE557B">
      <w:pPr>
        <w:ind w:left="0" w:firstLine="284"/>
      </w:pPr>
      <w:r>
        <w:rPr>
          <w:b/>
        </w:rPr>
        <w:t>М. С. Васильев; Н. Д. Щебеко; В. А. Турбин</w:t>
      </w:r>
    </w:p>
    <w:p w:rsidR="00000000" w:rsidRDefault="00BE557B">
      <w:pPr>
        <w:ind w:left="0" w:firstLine="284"/>
      </w:pPr>
    </w:p>
    <w:p w:rsidR="00000000" w:rsidRDefault="00BE557B">
      <w:pPr>
        <w:ind w:left="0" w:firstLine="284"/>
      </w:pPr>
      <w:r>
        <w:rPr>
          <w:b/>
        </w:rPr>
        <w:t>2. УТ</w:t>
      </w:r>
      <w:r>
        <w:rPr>
          <w:b/>
        </w:rPr>
        <w:t>ВЕРЖДЕН И ВВЕДЕН В ДЕЙСТВИЕ Постановлением Государственного комитета СССР по стандартам от 11 декабря 1978 г. № 3286</w:t>
      </w:r>
    </w:p>
    <w:p w:rsidR="00000000" w:rsidRDefault="00BE557B">
      <w:pPr>
        <w:ind w:left="0" w:firstLine="284"/>
      </w:pPr>
    </w:p>
    <w:p w:rsidR="00000000" w:rsidRDefault="00BE557B">
      <w:pPr>
        <w:ind w:left="0" w:firstLine="284"/>
      </w:pPr>
      <w:r>
        <w:rPr>
          <w:b/>
        </w:rPr>
        <w:t>3. Срок первой проверки— 1993 г. Периодичность проверки — 5 лет</w:t>
      </w:r>
    </w:p>
    <w:p w:rsidR="00000000" w:rsidRDefault="00BE557B">
      <w:pPr>
        <w:ind w:left="0" w:firstLine="284"/>
      </w:pPr>
    </w:p>
    <w:p w:rsidR="00000000" w:rsidRDefault="00BE557B">
      <w:pPr>
        <w:ind w:left="0" w:firstLine="284"/>
        <w:rPr>
          <w:b/>
        </w:rPr>
      </w:pPr>
      <w:r>
        <w:rPr>
          <w:b/>
        </w:rPr>
        <w:t>4. ССЫЛОЧНЫЕ НОРМАТИВНО-ТЕХНИЧЕСКИЕ ДОКУМЕНТЫ</w:t>
      </w:r>
    </w:p>
    <w:p w:rsidR="00000000" w:rsidRDefault="00BE557B">
      <w:pPr>
        <w:ind w:left="0"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550"/>
        <w:gridCol w:w="1797"/>
        <w:gridCol w:w="12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Обозначение НТД, на который дана ссылка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</w:p>
          <w:p w:rsidR="00000000" w:rsidRDefault="00BE557B">
            <w:pPr>
              <w:ind w:left="0" w:firstLine="0"/>
            </w:pPr>
            <w:r>
              <w:t>Номер пункта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Обозначение НТД, на который дана ссылка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BE557B">
            <w:pPr>
              <w:ind w:left="0" w:firstLine="0"/>
            </w:pPr>
          </w:p>
          <w:p w:rsidR="00000000" w:rsidRDefault="00BE557B">
            <w:pPr>
              <w:ind w:left="0" w:firstLine="0"/>
            </w:pPr>
            <w: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8.002—86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2.4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2171—90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1.4.6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12.1.005—88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1.2.8; 1.6.2; 2.5</w:t>
            </w:r>
          </w:p>
        </w:tc>
        <w:tc>
          <w:tcPr>
            <w:tcW w:w="17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2405—88</w:t>
            </w:r>
          </w:p>
        </w:tc>
        <w:tc>
          <w:tcPr>
            <w:tcW w:w="1286" w:type="dxa"/>
            <w:tcBorders>
              <w:lef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2.9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12.1.012—90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1.2.11</w:t>
            </w:r>
          </w:p>
        </w:tc>
        <w:tc>
          <w:tcPr>
            <w:tcW w:w="17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4666—75</w:t>
            </w:r>
          </w:p>
        </w:tc>
        <w:tc>
          <w:tcPr>
            <w:tcW w:w="1286" w:type="dxa"/>
            <w:tcBorders>
              <w:lef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1.4.6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12.1.018—93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1.3.2</w:t>
            </w:r>
          </w:p>
        </w:tc>
        <w:tc>
          <w:tcPr>
            <w:tcW w:w="17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7016—82</w:t>
            </w:r>
          </w:p>
        </w:tc>
        <w:tc>
          <w:tcPr>
            <w:tcW w:w="1286" w:type="dxa"/>
            <w:tcBorders>
              <w:lef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</w:t>
            </w:r>
            <w:r>
              <w:t>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12.1.026—80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2.6</w:t>
            </w:r>
          </w:p>
        </w:tc>
        <w:tc>
          <w:tcPr>
            <w:tcW w:w="17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7057—81</w:t>
            </w:r>
          </w:p>
        </w:tc>
        <w:tc>
          <w:tcPr>
            <w:tcW w:w="1286" w:type="dxa"/>
            <w:tcBorders>
              <w:lef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2.6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12.1.028—80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2.6</w:t>
            </w:r>
          </w:p>
        </w:tc>
        <w:tc>
          <w:tcPr>
            <w:tcW w:w="17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8769—75</w:t>
            </w:r>
          </w:p>
        </w:tc>
        <w:tc>
          <w:tcPr>
            <w:tcW w:w="1286" w:type="dxa"/>
            <w:tcBorders>
              <w:lef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12.2.003—91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1.1.1</w:t>
            </w:r>
          </w:p>
        </w:tc>
        <w:tc>
          <w:tcPr>
            <w:tcW w:w="17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8856—72</w:t>
            </w:r>
          </w:p>
        </w:tc>
        <w:tc>
          <w:tcPr>
            <w:tcW w:w="1286" w:type="dxa"/>
            <w:tcBorders>
              <w:lef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1.6.4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12.2.007.0—75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1.2.19</w:t>
            </w:r>
          </w:p>
        </w:tc>
        <w:tc>
          <w:tcPr>
            <w:tcW w:w="17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9544—93</w:t>
            </w:r>
          </w:p>
        </w:tc>
        <w:tc>
          <w:tcPr>
            <w:tcW w:w="1286" w:type="dxa"/>
            <w:tcBorders>
              <w:lef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1.4.4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12.2 008—75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1.6.4</w:t>
            </w:r>
          </w:p>
        </w:tc>
        <w:tc>
          <w:tcPr>
            <w:tcW w:w="17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11516—79</w:t>
            </w:r>
          </w:p>
        </w:tc>
        <w:tc>
          <w:tcPr>
            <w:tcW w:w="1286" w:type="dxa"/>
            <w:tcBorders>
              <w:lef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1.6.6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12.2.010—75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1.6.3</w:t>
            </w:r>
          </w:p>
        </w:tc>
        <w:tc>
          <w:tcPr>
            <w:tcW w:w="17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14202—69</w:t>
            </w:r>
          </w:p>
        </w:tc>
        <w:tc>
          <w:tcPr>
            <w:tcW w:w="1286" w:type="dxa"/>
            <w:tcBorders>
              <w:lef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12.2.013.0—91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1.6.3</w:t>
            </w:r>
          </w:p>
        </w:tc>
        <w:tc>
          <w:tcPr>
            <w:tcW w:w="17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16514—87</w:t>
            </w:r>
          </w:p>
        </w:tc>
        <w:tc>
          <w:tcPr>
            <w:tcW w:w="1286" w:type="dxa"/>
            <w:tcBorders>
              <w:lef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1.2.18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12.2.013.1—91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1.6.3</w:t>
            </w:r>
          </w:p>
        </w:tc>
        <w:tc>
          <w:tcPr>
            <w:tcW w:w="17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16519—78</w:t>
            </w:r>
          </w:p>
        </w:tc>
        <w:tc>
          <w:tcPr>
            <w:tcW w:w="1286" w:type="dxa"/>
            <w:tcBorders>
              <w:lef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2.6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12.2.013.5—91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1.6.3</w:t>
            </w:r>
          </w:p>
        </w:tc>
        <w:tc>
          <w:tcPr>
            <w:tcW w:w="17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17168—82</w:t>
            </w:r>
          </w:p>
        </w:tc>
        <w:tc>
          <w:tcPr>
            <w:tcW w:w="1286" w:type="dxa"/>
            <w:tcBorders>
              <w:lef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2.6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12.2.013.6—91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1.6.3</w:t>
            </w:r>
          </w:p>
        </w:tc>
        <w:tc>
          <w:tcPr>
            <w:tcW w:w="17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17187—81</w:t>
            </w:r>
          </w:p>
        </w:tc>
        <w:tc>
          <w:tcPr>
            <w:tcW w:w="1286" w:type="dxa"/>
            <w:tcBorders>
              <w:lef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2.6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12.2.013.8—91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1.6.3</w:t>
            </w:r>
          </w:p>
        </w:tc>
        <w:tc>
          <w:tcPr>
            <w:tcW w:w="17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17770—86</w:t>
            </w:r>
          </w:p>
        </w:tc>
        <w:tc>
          <w:tcPr>
            <w:tcW w:w="1286" w:type="dxa"/>
            <w:tcBorders>
              <w:lef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12.2.013.14—90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1.6.3</w:t>
            </w:r>
          </w:p>
        </w:tc>
        <w:tc>
          <w:tcPr>
            <w:tcW w:w="17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19862—93</w:t>
            </w:r>
          </w:p>
        </w:tc>
        <w:tc>
          <w:tcPr>
            <w:tcW w:w="1286" w:type="dxa"/>
            <w:tcBorders>
              <w:lef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2.8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12.2.040—79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1.2.18</w:t>
            </w:r>
          </w:p>
        </w:tc>
        <w:tc>
          <w:tcPr>
            <w:tcW w:w="17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21392—90</w:t>
            </w:r>
          </w:p>
        </w:tc>
        <w:tc>
          <w:tcPr>
            <w:tcW w:w="1286" w:type="dxa"/>
            <w:tcBorders>
              <w:lef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1.2.3; 1.2.4;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12.3.001—85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1.2.18</w:t>
            </w:r>
          </w:p>
        </w:tc>
        <w:tc>
          <w:tcPr>
            <w:tcW w:w="17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</w:p>
        </w:tc>
        <w:tc>
          <w:tcPr>
            <w:tcW w:w="1286" w:type="dxa"/>
            <w:tcBorders>
              <w:lef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12.4.009—83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1.1.1</w:t>
            </w:r>
          </w:p>
        </w:tc>
        <w:tc>
          <w:tcPr>
            <w:tcW w:w="17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21752—76</w:t>
            </w:r>
          </w:p>
        </w:tc>
        <w:tc>
          <w:tcPr>
            <w:tcW w:w="1286" w:type="dxa"/>
            <w:tcBorders>
              <w:lef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1.2.17, 1.5.6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12.4.012—83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2.6</w:t>
            </w:r>
          </w:p>
        </w:tc>
        <w:tc>
          <w:tcPr>
            <w:tcW w:w="17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21753—76</w:t>
            </w:r>
          </w:p>
        </w:tc>
        <w:tc>
          <w:tcPr>
            <w:tcW w:w="1286" w:type="dxa"/>
            <w:tcBorders>
              <w:lef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1.2.17; 1.5.6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12.4.026—76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1.1.6; 1.2.4</w:t>
            </w:r>
          </w:p>
        </w:tc>
        <w:tc>
          <w:tcPr>
            <w:tcW w:w="17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27331—87</w:t>
            </w:r>
          </w:p>
        </w:tc>
        <w:tc>
          <w:tcPr>
            <w:tcW w:w="1286" w:type="dxa"/>
            <w:tcBorders>
              <w:lef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ГОСТ 15.001—88</w:t>
            </w: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1.1.4</w:t>
            </w:r>
          </w:p>
        </w:tc>
        <w:tc>
          <w:tcPr>
            <w:tcW w:w="17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ОСТ 37.001.413—86</w:t>
            </w:r>
          </w:p>
        </w:tc>
        <w:tc>
          <w:tcPr>
            <w:tcW w:w="1286" w:type="dxa"/>
            <w:tcBorders>
              <w:left w:val="single" w:sz="6" w:space="0" w:color="auto"/>
            </w:tcBorders>
          </w:tcPr>
          <w:p w:rsidR="00000000" w:rsidRDefault="00BE557B">
            <w:pPr>
              <w:ind w:left="0" w:firstLine="0"/>
            </w:pPr>
            <w:r>
              <w:t>1.2.7</w:t>
            </w:r>
          </w:p>
        </w:tc>
      </w:tr>
    </w:tbl>
    <w:p w:rsidR="00000000" w:rsidRDefault="00BE557B">
      <w:pPr>
        <w:ind w:left="0" w:firstLine="284"/>
      </w:pPr>
    </w:p>
    <w:p w:rsidR="00000000" w:rsidRDefault="00BE557B">
      <w:pPr>
        <w:ind w:left="0" w:firstLine="284"/>
      </w:pPr>
    </w:p>
    <w:p w:rsidR="00000000" w:rsidRDefault="00BE557B">
      <w:pPr>
        <w:ind w:left="0" w:firstLine="284"/>
      </w:pPr>
      <w:r>
        <w:rPr>
          <w:b/>
        </w:rPr>
        <w:t>5. ПЕРЕИЗДАНИЕ (февраль 1996 г.) с Изменениями № 1, 2, утвержденными в октябре 1984 г., июне 1989 г. (ИУС 1—85, 10—89)</w:t>
      </w:r>
    </w:p>
    <w:p w:rsidR="00000000" w:rsidRDefault="00BE557B">
      <w:pPr>
        <w:ind w:left="0" w:firstLine="284"/>
      </w:pPr>
    </w:p>
    <w:p w:rsidR="00000000" w:rsidRDefault="00BE557B">
      <w:pPr>
        <w:ind w:left="0" w:firstLine="284"/>
      </w:pPr>
      <w:r>
        <w:rPr>
          <w:b/>
        </w:rPr>
        <w:t xml:space="preserve">6. Снять ограничение срока действия ГОСТ 12.2.037—78 Постановлением Госстандарта СССР </w:t>
      </w:r>
      <w:r>
        <w:rPr>
          <w:b/>
        </w:rPr>
        <w:t>№ 1784 от 21.06.89</w:t>
      </w:r>
    </w:p>
    <w:sectPr w:rsidR="00000000">
      <w:pgSz w:w="11907" w:h="16840" w:code="9"/>
      <w:pgMar w:top="1440" w:right="4536" w:bottom="144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557B"/>
    <w:rsid w:val="00B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left="40" w:firstLine="32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3479</Words>
  <Characters>19836</Characters>
  <Application>Microsoft Office Word</Application>
  <DocSecurity>4</DocSecurity>
  <Lines>165</Lines>
  <Paragraphs>46</Paragraphs>
  <ScaleCrop>false</ScaleCrop>
  <Company>Elcom Ltd</Company>
  <LinksUpToDate>false</LinksUpToDate>
  <CharactersWithSpaces>23269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2013-04-11T11:13:00Z</dcterms:created>
  <dcterms:modified xsi:type="dcterms:W3CDTF">2013-04-11T11:13:00Z</dcterms:modified>
</cp:coreProperties>
</file>