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44FD">
      <w:pPr>
        <w:spacing w:line="240" w:lineRule="auto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12.2.092—94 </w:t>
      </w:r>
    </w:p>
    <w:p w:rsidR="00000000" w:rsidRDefault="00AD44FD">
      <w:pPr>
        <w:spacing w:line="240" w:lineRule="auto"/>
        <w:ind w:firstLine="284"/>
        <w:jc w:val="right"/>
        <w:rPr>
          <w:sz w:val="20"/>
          <w:lang w:val="en-US"/>
        </w:rPr>
      </w:pPr>
    </w:p>
    <w:p w:rsidR="00000000" w:rsidRDefault="00AD44FD">
      <w:pPr>
        <w:spacing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УДК 621.365—55:006.354                                                                                          Группа Т58</w:t>
      </w: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МЕЖГОСУДАРСТВЕННЫЙ СТАНДАРТ</w:t>
      </w: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Система стандартов безопасности труда </w:t>
      </w:r>
    </w:p>
    <w:p w:rsidR="00000000" w:rsidRDefault="00AD44FD">
      <w:pPr>
        <w:spacing w:line="240" w:lineRule="auto"/>
        <w:ind w:firstLine="284"/>
        <w:jc w:val="center"/>
        <w:rPr>
          <w:b/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ОБОРУДОВАНИЕ ЭЛЕКТРОМЕХАНИЧЕСКОЕ И ЭЛЕКТРОНА</w:t>
      </w:r>
      <w:r>
        <w:rPr>
          <w:b/>
          <w:sz w:val="20"/>
        </w:rPr>
        <w:t>ГРЕВАТЕЛЬНОЕ ДЛЯ ПРЕДПРИЯТИЙ ОБЩЕСТВЕННОГО ПИТАНИЯ</w:t>
      </w: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Общие технические требования по безопасности и методы испытаний</w:t>
      </w: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 xml:space="preserve">Occupational safety standards system. </w:t>
      </w: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 xml:space="preserve">Electromechanical and electrical heating equipment for catering. </w:t>
      </w: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>General technical requirements for security and test methods</w:t>
      </w:r>
    </w:p>
    <w:p w:rsidR="00000000" w:rsidRDefault="00AD44FD">
      <w:pPr>
        <w:spacing w:line="240" w:lineRule="auto"/>
        <w:ind w:firstLine="284"/>
        <w:jc w:val="center"/>
        <w:rPr>
          <w:b/>
          <w:sz w:val="20"/>
          <w:lang w:val="en-US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ОКС 0012 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ОКП 51 5100</w:t>
      </w:r>
    </w:p>
    <w:p w:rsidR="00000000" w:rsidRDefault="00AD44FD">
      <w:pPr>
        <w:spacing w:line="240" w:lineRule="auto"/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1996—01—01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Предисловие</w:t>
      </w: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 РАЗРАБОТАН Всероссийским научно-исследовательским институтом стандартизации и сертификации в машиностроении (ВНИИНМАШ)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ВНЕСЕН Госстандартом Российской Федерации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2 </w:t>
      </w:r>
      <w:r>
        <w:rPr>
          <w:sz w:val="20"/>
        </w:rPr>
        <w:t>ПРИНЯТ Межгосударственным Советом по стандартизации, метрологии и сертификации (протокол № 6—94 от 21 октября 1994 г.)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За принятие проголосовали: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0"/>
        <w:gridCol w:w="3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Наименование государства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before="20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национального органа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before="20"/>
              <w:ind w:firstLine="0"/>
              <w:rPr>
                <w:sz w:val="20"/>
              </w:rPr>
            </w:pPr>
            <w:r>
              <w:rPr>
                <w:sz w:val="20"/>
              </w:rPr>
              <w:t>Азербайджанская республика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before="20"/>
              <w:ind w:firstLine="0"/>
              <w:rPr>
                <w:sz w:val="20"/>
              </w:rPr>
            </w:pPr>
            <w:r>
              <w:rPr>
                <w:sz w:val="20"/>
              </w:rPr>
              <w:t>Азгосстандарт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Армения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Армгосстандарт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Беларусь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Белстандарт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Грузия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Грузстандарт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Казахстан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Кыргызская Республика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Кыргызстандарт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Молдова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Госдепартамент Молдовастандарт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Рос</w:t>
            </w:r>
            <w:r>
              <w:rPr>
                <w:sz w:val="20"/>
              </w:rPr>
              <w:t>сийская Федерация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Узбекистан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before="20"/>
              <w:ind w:firstLine="0"/>
              <w:rPr>
                <w:sz w:val="20"/>
              </w:rPr>
            </w:pPr>
            <w:r>
              <w:rPr>
                <w:sz w:val="20"/>
              </w:rPr>
              <w:t>Украина</w:t>
            </w:r>
          </w:p>
        </w:tc>
        <w:tc>
          <w:tcPr>
            <w:tcW w:w="3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before="20"/>
              <w:ind w:firstLine="0"/>
              <w:rPr>
                <w:sz w:val="20"/>
              </w:rPr>
            </w:pPr>
            <w:r>
              <w:rPr>
                <w:sz w:val="20"/>
              </w:rPr>
              <w:t>Госстандарт Украины</w:t>
            </w:r>
          </w:p>
        </w:tc>
      </w:tr>
    </w:tbl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 Постановлением Комитета Российской Федерации по стандартизации, метрологии и сертификации от 30 мая 1995 г. № 275 межгосударственный стандарт ГОСТ 12.2.092—94 принят непосредственно в качестве государственного стандарта Российской Федерации с 1 января 1996 г.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 ВЗАМЕН ГОСТ 12.2.092—83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1 ОБЛАСТЬ ПРИМЕНЕНИЯ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lastRenderedPageBreak/>
        <w:t>Настоящий стандарт распространяется на электронагревательное, электромеханическое и комбинир</w:t>
      </w:r>
      <w:r>
        <w:rPr>
          <w:sz w:val="20"/>
        </w:rPr>
        <w:t>ованное оборудование для предприятий общественного питания и торговли (в дальнейшем — оборудование) и устанавливает общие требования безопасности при проектировании, изготовлении, транспортировании, монтаже и эксплуатации.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Настоящий стандарт должен применяться совместно с ГОСТ 27570.0.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Для оборудования, предназначенного для работы в наземных т</w:t>
      </w:r>
      <w:r>
        <w:rPr>
          <w:sz w:val="20"/>
          <w:lang w:val="en-US"/>
        </w:rPr>
        <w:t>ранспортных</w:t>
      </w:r>
      <w:r>
        <w:rPr>
          <w:sz w:val="20"/>
        </w:rPr>
        <w:t xml:space="preserve"> средствах, на судах или самолетах, должны быть установлены дополнительные требования.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Требования настоящего стандарта являются обязательными.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2 НОРМАТИВНЫ</w:t>
      </w:r>
      <w:r>
        <w:rPr>
          <w:b/>
          <w:sz w:val="20"/>
        </w:rPr>
        <w:t>Е ССЫЛКИ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12.1.001—89 ССБТ. Ультразвук. Общие требования безопасности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12.1.003—83 ССБТ. Шум. Общие требования безопасности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12.1.006—84 ССБТ. Электромагнитные поля радиочастот. Допустимые уровни на рабочих местах и требования к проведению контроля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 1.012—90 ССБТ. Вибрационная безопасность. Общие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12.1.019—79 ССБТ. Электробезопасность. Общие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12.1.026—80 ССБТ. Шум. Методы определения шумовых х</w:t>
      </w:r>
      <w:r>
        <w:rPr>
          <w:sz w:val="20"/>
        </w:rPr>
        <w:t>арактеристик источников шума в свободном звуковом поле над звукоотражающей плоскостью. Технический метод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12.1.027—80 ССБТ. Шум. Методы определения шумовых характеристик источников шума в реверберационном помещении. Технический метод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12.1.028—80 ССБТ. Шум. Определение шумовых характеристик источников шума. Ориентировочный метод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12.2.003—91 ССБТ. Оборудование производственное. Общие требования безопасности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12.2.007.0—75 ССБТ. Изделия электротехнические. Общие требования безопасности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</w:t>
      </w:r>
      <w:r>
        <w:rPr>
          <w:sz w:val="20"/>
        </w:rPr>
        <w:t>2.2.033—78 ССБТ. Рабочее место при выполнении работ стоя. Общие эргономические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12.2.085—82 ССБТ. Сосуды, работающие под давлением. Клапаны предохранительные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12.4.026—76 ССБТ. Цвета сигнальные и знаки безопасности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12.4.040—78 ССБТ. Органы управления производственным оборудованием. Обозначения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21752—76 Система человек—машина. Маховики управления и штурвала. Общие эргономические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21753—76 Система человек—машина. Рычаги управления. Общие эргономические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</w:t>
      </w:r>
      <w:r>
        <w:rPr>
          <w:sz w:val="20"/>
        </w:rPr>
        <w:t>СТ 22269—76 Рабочее место оператора. Взаимное расположение элементов рабочего места. Общие эргономические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24899—81 Электроприборы и машины бытовые. Символы органов управления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27570.0—87 Безопасность бытовых и аналогичных электрических приборов. Общие требования и методы испытаний.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3 ТЕХНИЧЕСКИЕ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 Оборудование должно соответствовать ГОСТ 12.1.019, 12.2.003, 27570.0 и настоящему стандарту.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 В конструкторской документации, стандартах и технических условиях на изготовление</w:t>
      </w:r>
      <w:r>
        <w:rPr>
          <w:sz w:val="20"/>
        </w:rPr>
        <w:t xml:space="preserve"> оборудования необходимо предусматривать меры по ограничению воздействия на работающих опасных и вредных факторов: ультразвука, шума и вибрации, установленных соответственно ГОСТ 12.1.001, ГОСТ 12.1.003, ГОСТ 12.1.012.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3.3 Требования настоящего стандарта не освобождают разработчика оборудования, заказчика оборудования и предприятия-потребителя от обеспечения дополнительных требований безопасности (обусловленных особенностями условии труда, назначения, эксплуатации и конструкции оборудования), которые оговар</w:t>
      </w:r>
      <w:r>
        <w:rPr>
          <w:sz w:val="20"/>
        </w:rPr>
        <w:t>иваются в технических условиях и стандартах на серийно выпускаемое оборудование.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3.4 В маркировке оборудования, предназначенного для подключения к водопроводу, должно быть указано давление или диапазон давления потребляемой воды.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lastRenderedPageBreak/>
        <w:t>3.5 Если безопасность работы обслуживающего персонала обеспечивается при определенном направлении вращения двигателя и рабочих органов, то оно должно быть указано на двигателе или на корпусе оборудования.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3.6 Если оборудование неструезащищенного исполнения, то в инструкции по экспл</w:t>
      </w:r>
      <w:r>
        <w:rPr>
          <w:sz w:val="20"/>
        </w:rPr>
        <w:t>уатации должно быть указано, что его нельзя мыть водяной струей.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3.7 В оборудовании, наполняемом вручную, должна быть хорошо видна отметка номинального уровня во время наполнения.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3.8 В электромеханическом и комбинированном оборудовании должно быть исключено соприкасание смазочных материалов с пищевыми продуктами.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3.9 Стационарное незакрепленное оборудование должно быть устойчивым.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3.10 Вертикально поднимаемые дверцы не должны создавать опасности травмирования. Для обеспечения этого необходимо: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чтобы подн</w:t>
      </w:r>
      <w:r>
        <w:rPr>
          <w:sz w:val="20"/>
        </w:rPr>
        <w:t>имаемые дверцы имели аварийное стопорящее устройство в дополнение к рабочему стопорящему устройству, которое срабатывает на 120 мм выше воспринимающий удар поверхности. Система противовесов может быть использована как заменитель такого стопорящего устройства. Система противовесов должна быть такой, чтобы в случае неисправности сила, заставляющая дверцу опускаться, не превышала 50 Н;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чтобы поднимаемые дверцы с массой до 5 кг или с высотой подъема до 400 мм имели воспринимающие удар поверхности шириной не м</w:t>
      </w:r>
      <w:r>
        <w:rPr>
          <w:sz w:val="20"/>
        </w:rPr>
        <w:t>енее 20 мм.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3.11 Жестко закрепленное оборудование и оборудование массой более 40 кг, не снабженное роликами или колесиками, должно иметь такую конструкцию, чтобы питающие провода можно было подсоединять после установки оборудования на предназначенном месте в соответствии с инструкцией изготовителя.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3.12 Откидные, съемные, раздвижные дверцы или крышки должны иметь удобные ручки и скобы и должны открываться вручную с усилием не более 70 Н при пользовании более двух раз в смену.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Дверцы, открываемые вверх, долж</w:t>
      </w:r>
      <w:r>
        <w:rPr>
          <w:sz w:val="20"/>
        </w:rPr>
        <w:t>ны фиксироваться в открытом положении. Открывающиеся вниз или в сторону дверцы должны удерживаться в закрытом (рабочем) положении.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3.13 В оборудовании, оснащенном дверцами для защиты обслуживающего персонала от соприкасания с движущимися элементами оборудования, должна быть блокировка от работы электропривода при открывании дверец.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3.14 Оборудование, которое работает при давлении, большем атмосферного, должно быть снабжено устройством для его сброса, чтобы избежать чрезмерного повышения давления.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Во время и</w:t>
      </w:r>
      <w:r>
        <w:rPr>
          <w:sz w:val="20"/>
        </w:rPr>
        <w:t>спытания устройство для сброса давления должно работать так, чтобы внутреннее давление в оборудовании не превышало номинальное значение более чем на 10 %.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3.15 Оборудование не должно иметь острых углов, кромок и неровностей поверхностей, представляющих опасность травмирования работающих. Компоновка составных частей оборудования должна обеспечивать свободный доступ к ним, безопасность при монтаже и эксплуатации.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3.16 Детали, сборочные единицы и покупные изделия должны отвечать требованиям настоящего стандарт</w:t>
      </w:r>
      <w:r>
        <w:rPr>
          <w:sz w:val="20"/>
        </w:rPr>
        <w:t>а.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3.17 Предохранительные клапаны, устанавливаемые на оборудование, работающие под давлением свыше 0,07 МПа, должны соответствовать требованиям ГОСТ 12.2.085.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3.18 Поверхности оборудования, соприкасающиеся с пищевыми средами или оказывающие воздействие на них, должны быть изготовлены из материалов или иметь покрытия, разрешенные органами здравоохранения.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3.19 Оборудование, работающее под давлением свыше 0,07 МПа, должно быть изготовлено в соответствии с требованиями «Правил устройства и безопасной эксплуата</w:t>
      </w:r>
      <w:r>
        <w:rPr>
          <w:sz w:val="20"/>
        </w:rPr>
        <w:t>ции сосудов, работающих под давлением».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3.20 Кнопки включения и выключения оборудования — (3.4) по ГОСТ 12.2.007.0.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Кнопки аварийного отключения должны быть красного цвета, увеличенного размера по сравнению с другими кнопками.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3.21 Световая сигнализация оборудования должна быть контрастной и отвечать требованиям ГОСТ 12.4.026.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3.22 Усилия, прилагаемые к органам управления, не должны превышать нормативной динамической или статической нагрузки на двигательный аппарат человека в соответствии с ГОСТ 21752, ГОСТ</w:t>
      </w:r>
      <w:r>
        <w:rPr>
          <w:sz w:val="20"/>
        </w:rPr>
        <w:t xml:space="preserve"> 21753.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3.23 Размещение органов управления должно соответствовать ГОСТ 22269, ГОСТ 12.2.033. Органы управления должны иметь надписи или символы по ГОСТ 12.4.040 и ГОСТ 24899.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3.24 Требования к шумовым характеристикам оборудования— по ГОСТ 12.1.003 и нормативной документации на конкретный вид оборудования.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3.25 Требования к установкам, излучающим электромагнитные поля радиочастот, — по ГОСТ 12.1.006.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3.26 Оборудование должно быть оснащено местным освещением, если его отсутствие может явиться причиной перенап</w:t>
      </w:r>
      <w:r>
        <w:rPr>
          <w:sz w:val="20"/>
        </w:rPr>
        <w:t>ряжения органов зрения или повлечь за собой другие опасности.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3.27 Требования к допустимым уровням вибрации оборудования—по ГОСТ 12.1.012 и нормативной документации на конкретный вид оборудования.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3.28 При работе оборудования режущий инструмент должен иметь зазор относительно стенок кожуха не более 3 мм, а относительно внешней поверхности кожуха — не более 0,5 мм.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3.29 Конструкция запорного устройства должна исключать возможность его случайного открытия, если это может представлять опасность для персонала.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3.30 Устройства фиксации рабочих частей подсоединяемых принадлежностей оборудования не должны случайно отсоединяться, валы вращения должны быть защищены от случайного соприкасания с ними.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3.31 Опрокидывающиеся части оборудования не должны быть источником опасности.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3.32 Вращающиеся валки должны быть закрыты кожухом, а движущиеся рабочие органы—ограждены.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3.33 Каретки подачи продуктов должны иметь ограждающие планки, обеспечивающие безопасность рук и пальцев при приближении их к работающему инструменту.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3.34</w:t>
      </w:r>
      <w:r>
        <w:rPr>
          <w:sz w:val="20"/>
        </w:rPr>
        <w:t xml:space="preserve"> Загрузочные чаши электромеханического оборудования должны иметь защитные экраны; расстояния от отверстий до рабочих органов не должны превышать значений, указанных в таблице 1.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Таблица 1</w:t>
      </w:r>
    </w:p>
    <w:p w:rsidR="00000000" w:rsidRDefault="00AD44FD">
      <w:pPr>
        <w:spacing w:line="240" w:lineRule="auto"/>
        <w:ind w:firstLine="284"/>
        <w:jc w:val="right"/>
        <w:rPr>
          <w:sz w:val="20"/>
        </w:rPr>
      </w:pPr>
      <w:r>
        <w:rPr>
          <w:sz w:val="20"/>
        </w:rPr>
        <w:t>В миллиметрах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3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Кончик пальца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Палец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Ладонь до шарнирной части большого пальца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Рука до подмышки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object w:dxaOrig="4395" w:dyaOrig="4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99pt" o:ole="">
                  <v:imagedata r:id="rId4" o:title=""/>
                </v:shape>
                <o:OLEObject Type="Embed" ProgID="MSPhotoEd.3" ShapeID="_x0000_i1025" DrawAspect="Content" ObjectID="_1427205152" r:id="rId5"/>
              </w:objec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object w:dxaOrig="4305" w:dyaOrig="3915">
                <v:shape id="_x0000_i1026" type="#_x0000_t75" style="width:99.75pt;height:91.5pt" o:ole="">
                  <v:imagedata r:id="rId6" o:title=""/>
                </v:shape>
                <o:OLEObject Type="Embed" ProgID="MSPhotoEd.3" ShapeID="_x0000_i1026" DrawAspect="Content" ObjectID="_1427205153" r:id="rId7"/>
              </w:objec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object w:dxaOrig="4125" w:dyaOrig="4095">
                <v:shape id="_x0000_i1027" type="#_x0000_t75" style="width:96pt;height:95.25pt" o:ole="">
                  <v:imagedata r:id="rId8" o:title=""/>
                </v:shape>
                <o:OLEObject Type="Embed" ProgID="MSPhotoEd.3" ShapeID="_x0000_i1027" DrawAspect="Content" ObjectID="_1427205154" r:id="rId9"/>
              </w:objec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4FD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object w:dxaOrig="5505" w:dyaOrig="4905">
                <v:shape id="_x0000_i1028" type="#_x0000_t75" style="width:119.25pt;height:106.5pt" o:ole="">
                  <v:imagedata r:id="rId10" o:title=""/>
                </v:shape>
                <o:OLEObject Type="Embed" ProgID="MSPhotoEd.3" ShapeID="_x0000_i1028" DrawAspect="Content" ObjectID="_1427205155" r:id="rId11"/>
              </w:object>
            </w:r>
          </w:p>
        </w:tc>
      </w:tr>
    </w:tbl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i/>
          <w:sz w:val="20"/>
        </w:rPr>
        <w:t>а—</w:t>
      </w:r>
      <w:r>
        <w:rPr>
          <w:sz w:val="20"/>
        </w:rPr>
        <w:t>диаметр отверстия или длина стороны;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i/>
          <w:sz w:val="20"/>
        </w:rPr>
        <w:t>b —</w:t>
      </w:r>
      <w:r>
        <w:rPr>
          <w:sz w:val="20"/>
        </w:rPr>
        <w:t xml:space="preserve"> безопасная дистанция до точки опасности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Диапазон размеров отверстия: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4 &lt; </w:t>
      </w:r>
      <w:r>
        <w:rPr>
          <w:i/>
          <w:sz w:val="20"/>
        </w:rPr>
        <w:t>а</w:t>
      </w:r>
      <w:r>
        <w:rPr>
          <w:sz w:val="20"/>
        </w:rPr>
        <w:t xml:space="preserve"> </w:t>
      </w:r>
      <w:r>
        <w:rPr>
          <w:sz w:val="20"/>
        </w:rPr>
        <w:sym w:font="Symbol" w:char="F0A3"/>
      </w:r>
      <w:r>
        <w:rPr>
          <w:sz w:val="20"/>
          <w:lang w:val="en-US"/>
        </w:rPr>
        <w:t xml:space="preserve"> </w:t>
      </w:r>
      <w:r>
        <w:rPr>
          <w:sz w:val="20"/>
        </w:rPr>
        <w:t>8;    8</w:t>
      </w:r>
      <w:r>
        <w:rPr>
          <w:sz w:val="20"/>
          <w:lang w:val="en-US"/>
        </w:rPr>
        <w:t xml:space="preserve"> </w:t>
      </w:r>
      <w:r>
        <w:rPr>
          <w:sz w:val="20"/>
        </w:rPr>
        <w:t>&lt;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>а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A3"/>
      </w:r>
      <w:r>
        <w:rPr>
          <w:sz w:val="20"/>
          <w:lang w:val="en-US"/>
        </w:rPr>
        <w:t xml:space="preserve"> </w:t>
      </w:r>
      <w:r>
        <w:rPr>
          <w:sz w:val="20"/>
        </w:rPr>
        <w:t>12;    12</w:t>
      </w:r>
      <w:r>
        <w:rPr>
          <w:sz w:val="20"/>
          <w:lang w:val="en-US"/>
        </w:rPr>
        <w:t xml:space="preserve"> </w:t>
      </w:r>
      <w:r>
        <w:rPr>
          <w:sz w:val="20"/>
        </w:rPr>
        <w:t>&lt;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>а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A3"/>
      </w:r>
      <w:r>
        <w:rPr>
          <w:sz w:val="20"/>
          <w:lang w:val="en-US"/>
        </w:rPr>
        <w:t xml:space="preserve"> </w:t>
      </w:r>
      <w:r>
        <w:rPr>
          <w:sz w:val="20"/>
        </w:rPr>
        <w:t>25;    25</w:t>
      </w:r>
      <w:r>
        <w:rPr>
          <w:sz w:val="20"/>
          <w:lang w:val="en-US"/>
        </w:rPr>
        <w:t xml:space="preserve"> </w:t>
      </w:r>
      <w:r>
        <w:rPr>
          <w:sz w:val="20"/>
        </w:rPr>
        <w:t>&lt;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>а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A3"/>
      </w:r>
      <w:r>
        <w:rPr>
          <w:sz w:val="20"/>
          <w:lang w:val="en-US"/>
        </w:rPr>
        <w:t xml:space="preserve"> </w:t>
      </w:r>
      <w:r>
        <w:rPr>
          <w:sz w:val="20"/>
        </w:rPr>
        <w:t>40;    40</w:t>
      </w:r>
      <w:r>
        <w:rPr>
          <w:sz w:val="20"/>
          <w:lang w:val="en-US"/>
        </w:rPr>
        <w:t xml:space="preserve"> </w:t>
      </w:r>
      <w:r>
        <w:rPr>
          <w:sz w:val="20"/>
        </w:rPr>
        <w:t>&lt;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>а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A3"/>
      </w:r>
      <w:r>
        <w:rPr>
          <w:sz w:val="20"/>
          <w:lang w:val="en-US"/>
        </w:rPr>
        <w:t xml:space="preserve"> </w:t>
      </w:r>
      <w:r>
        <w:rPr>
          <w:sz w:val="20"/>
        </w:rPr>
        <w:t>150.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Безопасная дистанция до точки опасности:</w:t>
      </w:r>
    </w:p>
    <w:p w:rsidR="00000000" w:rsidRDefault="00AD44FD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i/>
          <w:sz w:val="20"/>
          <w:lang w:val="en-US"/>
        </w:rPr>
        <w:t>b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B3"/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15; </w:t>
      </w:r>
      <w:r>
        <w:rPr>
          <w:i/>
          <w:sz w:val="20"/>
          <w:lang w:val="en-US"/>
        </w:rPr>
        <w:t>b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B3"/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80; </w:t>
      </w:r>
      <w:r>
        <w:rPr>
          <w:i/>
          <w:sz w:val="20"/>
          <w:lang w:val="en-US"/>
        </w:rPr>
        <w:t>b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B3"/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120; </w:t>
      </w:r>
      <w:r>
        <w:rPr>
          <w:i/>
          <w:sz w:val="20"/>
          <w:lang w:val="en-US"/>
        </w:rPr>
        <w:t>b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B3"/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200; </w:t>
      </w:r>
      <w:r>
        <w:rPr>
          <w:i/>
          <w:sz w:val="20"/>
          <w:lang w:val="en-US"/>
        </w:rPr>
        <w:t>b</w:t>
      </w:r>
      <w:r>
        <w:rPr>
          <w:sz w:val="20"/>
          <w:lang w:val="en-US"/>
        </w:rPr>
        <w:t xml:space="preserve"> </w:t>
      </w:r>
      <w:r>
        <w:rPr>
          <w:sz w:val="20"/>
        </w:rPr>
        <w:sym w:font="Symbol" w:char="F0B3"/>
      </w:r>
      <w:r>
        <w:rPr>
          <w:sz w:val="20"/>
          <w:lang w:val="en-US"/>
        </w:rPr>
        <w:t xml:space="preserve"> </w:t>
      </w:r>
      <w:r>
        <w:rPr>
          <w:sz w:val="20"/>
        </w:rPr>
        <w:t>850.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4 МЕТОДЫ ИСПЫТАНИЙ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4.1 Если из конструкции оборудования очевидно, что определенное испытание неприменимо, то это испытание не проводят.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4.2 Методы контроля выполнения требований электробезопасности — по ГОСТ 27570.0.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4.3 Методы определения шумовых характеристик оборудования —по ГОСТ 12.1.026, ГОСТ 12.1.027 или ГОСТ 12.1.028.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4.4 Измерения и методы определения пара</w:t>
      </w:r>
      <w:r>
        <w:rPr>
          <w:sz w:val="20"/>
        </w:rPr>
        <w:t>метров вибрации — по ГОСТ 12.1.012.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4.5 Соответствие требованию, указанному в 3.14, проверяют при работе оборудования с номинальной мощностью, регуляторы давления должны бездействовать.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4.6 Методы контроля выполнения других требований безопасности устанавливают в нормативной документации на конкретные виды изделий.</w:t>
      </w:r>
    </w:p>
    <w:p w:rsidR="00000000" w:rsidRDefault="00AD44FD">
      <w:pPr>
        <w:spacing w:line="240" w:lineRule="auto"/>
        <w:ind w:firstLine="284"/>
        <w:jc w:val="both"/>
        <w:rPr>
          <w:sz w:val="20"/>
          <w:lang w:val="en-US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b/>
          <w:sz w:val="20"/>
          <w:lang w:val="en-US"/>
        </w:rPr>
      </w:pPr>
      <w:r>
        <w:rPr>
          <w:b/>
          <w:sz w:val="20"/>
        </w:rPr>
        <w:t>СОДЕРЖАНИЕ</w:t>
      </w:r>
    </w:p>
    <w:p w:rsidR="00000000" w:rsidRDefault="00AD44FD">
      <w:pPr>
        <w:spacing w:line="240" w:lineRule="auto"/>
        <w:ind w:firstLine="284"/>
        <w:jc w:val="both"/>
        <w:rPr>
          <w:b/>
          <w:sz w:val="20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 Технические требования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 Методы испытаний</w:t>
      </w:r>
    </w:p>
    <w:p w:rsidR="00000000" w:rsidRDefault="00AD44FD">
      <w:pPr>
        <w:spacing w:line="240" w:lineRule="auto"/>
        <w:ind w:firstLine="284"/>
        <w:jc w:val="both"/>
        <w:rPr>
          <w:sz w:val="20"/>
          <w:lang w:val="en-US"/>
        </w:rPr>
      </w:pPr>
    </w:p>
    <w:p w:rsidR="00000000" w:rsidRDefault="00AD44FD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Ключевые слова: безопасность, технические требования, методы испытаний</w:t>
      </w:r>
    </w:p>
    <w:p w:rsidR="00000000" w:rsidRDefault="00AD44FD">
      <w:pPr>
        <w:spacing w:line="240" w:lineRule="auto"/>
        <w:ind w:firstLine="284"/>
        <w:jc w:val="both"/>
        <w:rPr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4FD"/>
    <w:rsid w:val="00A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300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1792</Words>
  <Characters>10218</Characters>
  <Application>Microsoft Office Word</Application>
  <DocSecurity>0</DocSecurity>
  <Lines>85</Lines>
  <Paragraphs>23</Paragraphs>
  <ScaleCrop>false</ScaleCrop>
  <Company>Elcom Ltd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Alexandre Katalov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