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7C04">
      <w:pPr>
        <w:ind w:firstLine="284"/>
        <w:jc w:val="right"/>
      </w:pPr>
      <w:bookmarkStart w:id="0" w:name="INMARK"/>
      <w:bookmarkStart w:id="1" w:name="_GoBack"/>
      <w:bookmarkEnd w:id="1"/>
      <w:r>
        <w:t>ГОСТ 12.4.125-83</w:t>
      </w:r>
    </w:p>
    <w:p w:rsidR="00000000" w:rsidRDefault="00527C04">
      <w:pPr>
        <w:ind w:firstLine="284"/>
        <w:jc w:val="right"/>
      </w:pPr>
    </w:p>
    <w:p w:rsidR="00000000" w:rsidRDefault="00527C04">
      <w:pPr>
        <w:ind w:firstLine="284"/>
        <w:jc w:val="right"/>
      </w:pPr>
      <w:r>
        <w:t>Группа Т58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center"/>
      </w:pPr>
      <w:r>
        <w:t>ГОСУДАРСТВЕННЫЙ СТАНДАРТ СОЮЗА ССР</w:t>
      </w:r>
    </w:p>
    <w:p w:rsidR="00000000" w:rsidRDefault="00527C04">
      <w:pPr>
        <w:ind w:firstLine="284"/>
        <w:jc w:val="center"/>
      </w:pPr>
    </w:p>
    <w:p w:rsidR="00000000" w:rsidRDefault="00527C04">
      <w:pPr>
        <w:ind w:firstLine="284"/>
        <w:jc w:val="center"/>
      </w:pPr>
    </w:p>
    <w:p w:rsidR="00000000" w:rsidRDefault="00527C04">
      <w:pPr>
        <w:ind w:firstLine="284"/>
        <w:jc w:val="center"/>
      </w:pPr>
      <w:r>
        <w:t>СИСТЕМА СТАНДАРТОВ БЕЗОПАСНОСТИ ТРУДА</w:t>
      </w:r>
    </w:p>
    <w:p w:rsidR="00000000" w:rsidRDefault="00527C04">
      <w:pPr>
        <w:ind w:firstLine="284"/>
        <w:jc w:val="center"/>
      </w:pPr>
    </w:p>
    <w:p w:rsidR="00000000" w:rsidRDefault="00527C04">
      <w:pPr>
        <w:ind w:firstLine="284"/>
        <w:jc w:val="center"/>
        <w:rPr>
          <w:b/>
        </w:rPr>
      </w:pPr>
      <w:r>
        <w:rPr>
          <w:b/>
        </w:rPr>
        <w:t>Средства коллективной защиты</w:t>
      </w:r>
    </w:p>
    <w:p w:rsidR="00000000" w:rsidRDefault="00527C04">
      <w:pPr>
        <w:ind w:firstLine="284"/>
        <w:jc w:val="center"/>
        <w:rPr>
          <w:b/>
        </w:rPr>
      </w:pPr>
      <w:r>
        <w:rPr>
          <w:b/>
        </w:rPr>
        <w:t>работающих от воздействия</w:t>
      </w:r>
    </w:p>
    <w:p w:rsidR="00000000" w:rsidRDefault="00527C04">
      <w:pPr>
        <w:ind w:firstLine="284"/>
        <w:jc w:val="center"/>
        <w:rPr>
          <w:b/>
        </w:rPr>
      </w:pPr>
      <w:r>
        <w:rPr>
          <w:b/>
        </w:rPr>
        <w:t>механических факторов</w:t>
      </w:r>
    </w:p>
    <w:p w:rsidR="00000000" w:rsidRDefault="00527C04">
      <w:pPr>
        <w:ind w:firstLine="284"/>
        <w:jc w:val="center"/>
        <w:rPr>
          <w:b/>
        </w:rPr>
      </w:pPr>
      <w:r>
        <w:rPr>
          <w:b/>
        </w:rPr>
        <w:t>Классификация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joint</w:t>
      </w:r>
      <w:proofErr w:type="spellEnd"/>
    </w:p>
    <w:p w:rsidR="00000000" w:rsidRDefault="00527C04">
      <w:pPr>
        <w:ind w:firstLine="284"/>
        <w:jc w:val="center"/>
      </w:pPr>
      <w:proofErr w:type="spellStart"/>
      <w:r>
        <w:t>prote</w:t>
      </w:r>
      <w:r>
        <w:t>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mechanical</w:t>
      </w:r>
      <w:proofErr w:type="spellEnd"/>
    </w:p>
    <w:p w:rsidR="00000000" w:rsidRDefault="00527C04">
      <w:pPr>
        <w:ind w:firstLine="284"/>
        <w:jc w:val="center"/>
      </w:pPr>
      <w:proofErr w:type="spellStart"/>
      <w:r>
        <w:t>factors</w:t>
      </w:r>
      <w:proofErr w:type="spellEnd"/>
      <w:r>
        <w:t xml:space="preserve">. </w:t>
      </w:r>
      <w:proofErr w:type="spellStart"/>
      <w:r>
        <w:t>Classification</w:t>
      </w:r>
      <w:proofErr w:type="spellEnd"/>
      <w:r>
        <w:t xml:space="preserve"> 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proofErr w:type="spellStart"/>
      <w:r>
        <w:t>ОКСТУ</w:t>
      </w:r>
      <w:proofErr w:type="spellEnd"/>
      <w:r>
        <w:t xml:space="preserve"> 0012 </w:t>
      </w:r>
    </w:p>
    <w:p w:rsidR="00000000" w:rsidRDefault="00527C04">
      <w:pPr>
        <w:ind w:firstLine="284"/>
        <w:jc w:val="right"/>
      </w:pPr>
      <w:r>
        <w:t>Дата введения 1984-01-01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 xml:space="preserve">УТВЕРЖДЕН постановлением Государственного комитета СССР по стандартам от 18.02.83 </w:t>
      </w:r>
      <w:proofErr w:type="spellStart"/>
      <w:r>
        <w:t>N</w:t>
      </w:r>
      <w:proofErr w:type="spellEnd"/>
      <w:r>
        <w:t xml:space="preserve"> 852.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 xml:space="preserve">Переиздание. Июль 1985 г. 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1. Настоящий стандарт распространяется на средства коллективной защиты работающих на производственном оборудовании от воздействия механических факторов (далее средства защиты) и устанавливает их классификацию.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Требования к конструкции конкретных средств защиты устанавливают в ст</w:t>
      </w:r>
      <w:r>
        <w:t>андартах и технических условиях на конкретные средства защиты и виды оборудования.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Пояснения терминов, применяемых в настоящем стандарте, приведены в справочном приложении.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 Средства защиты разделяют на устройства: оградительные, предохранительные, тормозные, автоматического контроля и сигнализации, дистанционного управления и знаки безопасности.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2.1. Оградительные устройства подразделяют: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по конструктивному исполнению на - кожухи, дверцы, щиты, козырьки, планки, барьеры и экраны;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по способу их изгот</w:t>
      </w:r>
      <w:r>
        <w:t xml:space="preserve">овления на - сплошные, </w:t>
      </w:r>
      <w:proofErr w:type="spellStart"/>
      <w:r>
        <w:t>несплошные</w:t>
      </w:r>
      <w:proofErr w:type="spellEnd"/>
      <w:r>
        <w:t xml:space="preserve"> (перфорированные, сетчатые, решетчатые) и комбинированные;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по способу их установки на - стационарные, передвижные.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2.2. Предохранительные устройства по характеру действия подразделяют на: блокировочные и ограничительные.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2.2.1. Блокировочные устройства по принципу действия подразделяют на: механические, электронные, электрические, электромагнитные, пневматические, гидравлические, оптические, магнитные и комбинированные.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2.2.2. Ограничительные устройства по конструктивно</w:t>
      </w:r>
      <w:r>
        <w:t xml:space="preserve">му исполнению подразделяют на: муфты, штифты, клапаны, шпонки, мембраны, пружины, </w:t>
      </w:r>
      <w:proofErr w:type="spellStart"/>
      <w:r>
        <w:t>сильфоны</w:t>
      </w:r>
      <w:proofErr w:type="spellEnd"/>
      <w:r>
        <w:t xml:space="preserve"> и шайбы.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2.3. Тормозные устройства подразделяют: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по конструктивному исполнению - на колодочные, дисковые, конические и клиновые;</w:t>
      </w:r>
    </w:p>
    <w:p w:rsidR="00000000" w:rsidRDefault="00527C04">
      <w:pPr>
        <w:ind w:firstLine="284"/>
        <w:jc w:val="both"/>
      </w:pPr>
      <w:r>
        <w:t>по способу срабатывания на - ручные, автоматические и полуавтоматические;</w:t>
      </w:r>
    </w:p>
    <w:p w:rsidR="00000000" w:rsidRDefault="00527C04">
      <w:pPr>
        <w:ind w:firstLine="284"/>
        <w:jc w:val="both"/>
      </w:pPr>
      <w:r>
        <w:t>по принципу действия на - механические, электромагнитные, пневматические, гидравлические и комбинированные;</w:t>
      </w:r>
    </w:p>
    <w:p w:rsidR="00000000" w:rsidRDefault="00527C04">
      <w:pPr>
        <w:ind w:firstLine="284"/>
        <w:jc w:val="both"/>
      </w:pPr>
      <w:r>
        <w:t>по назначению на - рабочие, резервные, стояночные и экстренного торможения.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2.4. Устройства автоматического</w:t>
      </w:r>
      <w:r>
        <w:t xml:space="preserve"> контроля и сигнализации подразделяют: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по назначению на - информационные, предупреждающие, аварийные и ответные;</w:t>
      </w:r>
    </w:p>
    <w:p w:rsidR="00000000" w:rsidRDefault="00527C04">
      <w:pPr>
        <w:ind w:firstLine="284"/>
        <w:jc w:val="both"/>
      </w:pPr>
      <w:r>
        <w:t>по способу срабатывания на автоматические и полуавтоматические;</w:t>
      </w:r>
    </w:p>
    <w:p w:rsidR="00000000" w:rsidRDefault="00527C04">
      <w:pPr>
        <w:ind w:firstLine="284"/>
        <w:jc w:val="both"/>
      </w:pPr>
      <w:r>
        <w:t>по характеру сигнала на - звуковые, световые, цветовые, знаковые и комбинированные;</w:t>
      </w:r>
    </w:p>
    <w:p w:rsidR="00000000" w:rsidRDefault="00527C04">
      <w:pPr>
        <w:ind w:firstLine="284"/>
        <w:jc w:val="both"/>
      </w:pPr>
      <w:r>
        <w:t>по характеру подачи сигнала на - постоянные и пульсирующие.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2.5. Устройства дистанционного управления подразделяют: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по конструктивному исполнению на - стационарные и передвижные;</w:t>
      </w:r>
    </w:p>
    <w:p w:rsidR="00000000" w:rsidRDefault="00527C04">
      <w:pPr>
        <w:ind w:firstLine="284"/>
        <w:jc w:val="both"/>
      </w:pPr>
      <w:r>
        <w:t>по принципу действия на - механические, электрические, пневматические</w:t>
      </w:r>
      <w:r>
        <w:t>, гидравлические и комбинированные.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both"/>
      </w:pPr>
      <w:r>
        <w:t>2.6. Знаки безопасности подразделяют по ГОСТ 12.4.026-76.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right"/>
      </w:pPr>
      <w:r>
        <w:t>Приложение</w:t>
      </w:r>
    </w:p>
    <w:p w:rsidR="00000000" w:rsidRDefault="00527C04">
      <w:pPr>
        <w:ind w:firstLine="284"/>
        <w:jc w:val="right"/>
      </w:pPr>
      <w:r>
        <w:t>Справочное</w:t>
      </w:r>
    </w:p>
    <w:p w:rsidR="00000000" w:rsidRDefault="00527C04">
      <w:pPr>
        <w:ind w:firstLine="284"/>
        <w:jc w:val="both"/>
      </w:pPr>
    </w:p>
    <w:p w:rsidR="00000000" w:rsidRDefault="00527C04">
      <w:pPr>
        <w:ind w:firstLine="284"/>
        <w:jc w:val="center"/>
      </w:pPr>
      <w:r>
        <w:t>Пояснения некоторых терминов, употребляемых в стандарте</w:t>
      </w:r>
    </w:p>
    <w:p w:rsidR="00000000" w:rsidRDefault="00527C04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27C04">
            <w:pPr>
              <w:jc w:val="center"/>
            </w:pPr>
            <w:r>
              <w:t>Термин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27C04">
            <w:pPr>
              <w:jc w:val="center"/>
            </w:pPr>
            <w: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right w:val="nil"/>
            </w:tcBorders>
          </w:tcPr>
          <w:p w:rsidR="00000000" w:rsidRDefault="00527C04">
            <w:pPr>
              <w:jc w:val="both"/>
            </w:pPr>
            <w:r>
              <w:t>Средство коллективной защиты  (</w:t>
            </w:r>
            <w:proofErr w:type="spellStart"/>
            <w:r>
              <w:t>СКЗ</w:t>
            </w:r>
            <w:proofErr w:type="spellEnd"/>
            <w:r>
              <w:t>)</w:t>
            </w:r>
          </w:p>
        </w:tc>
        <w:tc>
          <w:tcPr>
            <w:tcW w:w="5159" w:type="dxa"/>
            <w:tcBorders>
              <w:top w:val="nil"/>
              <w:left w:val="single" w:sz="6" w:space="0" w:color="auto"/>
            </w:tcBorders>
          </w:tcPr>
          <w:p w:rsidR="00000000" w:rsidRDefault="00527C04">
            <w:pPr>
              <w:jc w:val="both"/>
            </w:pPr>
            <w:r>
              <w:t xml:space="preserve">По </w:t>
            </w:r>
            <w:bookmarkStart w:id="2" w:name="_Hlt422536377"/>
            <w:r>
              <w:t>ГОСТ 12.0.002-80</w:t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Средство коллективной защиты от воздействия механических факторов</w:t>
            </w:r>
          </w:p>
        </w:tc>
        <w:tc>
          <w:tcPr>
            <w:tcW w:w="5159" w:type="dxa"/>
            <w:tcBorders>
              <w:left w:val="single" w:sz="6" w:space="0" w:color="auto"/>
            </w:tcBorders>
          </w:tcPr>
          <w:p w:rsidR="00000000" w:rsidRDefault="00527C04">
            <w:pPr>
              <w:jc w:val="both"/>
            </w:pPr>
            <w:proofErr w:type="spellStart"/>
            <w:r>
              <w:t>СКЗ</w:t>
            </w:r>
            <w:proofErr w:type="spellEnd"/>
            <w:r>
              <w:t>, исключающее воздействие на работающего опасного производственного фактора, вызываемого движением и(или) перемещением материального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Оградительное устройство</w:t>
            </w:r>
          </w:p>
        </w:tc>
        <w:tc>
          <w:tcPr>
            <w:tcW w:w="5159" w:type="dxa"/>
            <w:tcBorders>
              <w:left w:val="single" w:sz="6" w:space="0" w:color="auto"/>
            </w:tcBorders>
          </w:tcPr>
          <w:p w:rsidR="00000000" w:rsidRDefault="00527C04">
            <w:pPr>
              <w:jc w:val="both"/>
            </w:pPr>
            <w:r>
              <w:t>Устройство защиты, устанавли</w:t>
            </w:r>
            <w:r>
              <w:t>ваемое между опасным производственным фактором и работающими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Устройство автоматического контроля и сигнализации</w:t>
            </w:r>
          </w:p>
        </w:tc>
        <w:tc>
          <w:tcPr>
            <w:tcW w:w="5159" w:type="dxa"/>
            <w:tcBorders>
              <w:left w:val="single" w:sz="6" w:space="0" w:color="auto"/>
            </w:tcBorders>
          </w:tcPr>
          <w:p w:rsidR="00000000" w:rsidRDefault="00527C04">
            <w:pPr>
              <w:jc w:val="both"/>
            </w:pPr>
            <w:r>
              <w:t>Устройство, предназначенное для контроля передачи и воспроизведения информации (цветовой, звуковой, световой и др.) с целью привлечения внимания работающих и принятия ими решения при появлении или возможном возникновении опасного производственного фактора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Предохранительное устройство</w:t>
            </w:r>
          </w:p>
        </w:tc>
        <w:tc>
          <w:tcPr>
            <w:tcW w:w="5159" w:type="dxa"/>
            <w:tcBorders>
              <w:left w:val="single" w:sz="6" w:space="0" w:color="auto"/>
            </w:tcBorders>
          </w:tcPr>
          <w:p w:rsidR="00000000" w:rsidRDefault="00527C04">
            <w:pPr>
              <w:jc w:val="both"/>
            </w:pPr>
            <w:r>
              <w:t>Устройство, предназначенное для ликвидации опасного производственного фактора в источнике его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Устр</w:t>
            </w:r>
            <w:r>
              <w:t>ойство дистанционного управления</w:t>
            </w:r>
          </w:p>
        </w:tc>
        <w:tc>
          <w:tcPr>
            <w:tcW w:w="5159" w:type="dxa"/>
            <w:tcBorders>
              <w:left w:val="single" w:sz="6" w:space="0" w:color="auto"/>
            </w:tcBorders>
          </w:tcPr>
          <w:p w:rsidR="00000000" w:rsidRDefault="00527C04">
            <w:pPr>
              <w:jc w:val="both"/>
            </w:pPr>
            <w:r>
              <w:t>Устройство, предназначенное для управления технологическим процессом или производственным оборудованием за пределами опасной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Тормозное устройство</w:t>
            </w:r>
          </w:p>
        </w:tc>
        <w:tc>
          <w:tcPr>
            <w:tcW w:w="5159" w:type="dxa"/>
            <w:tcBorders>
              <w:left w:val="single" w:sz="6" w:space="0" w:color="auto"/>
            </w:tcBorders>
          </w:tcPr>
          <w:p w:rsidR="00000000" w:rsidRDefault="00527C04">
            <w:pPr>
              <w:jc w:val="both"/>
            </w:pPr>
            <w:r>
              <w:t xml:space="preserve">Устройство, предназначенное для замедления или остановки производственного оборудования при возникновении опасного производственного фактора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Блокировочное устройство</w:t>
            </w:r>
          </w:p>
        </w:tc>
        <w:tc>
          <w:tcPr>
            <w:tcW w:w="5159" w:type="dxa"/>
            <w:tcBorders>
              <w:left w:val="single" w:sz="6" w:space="0" w:color="auto"/>
            </w:tcBorders>
          </w:tcPr>
          <w:p w:rsidR="00000000" w:rsidRDefault="00527C04">
            <w:pPr>
              <w:jc w:val="both"/>
            </w:pPr>
            <w:r>
              <w:t>Устройство, срабатывающее при ошибочных действиях работающего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527C04">
            <w:pPr>
              <w:jc w:val="both"/>
            </w:pPr>
            <w:r>
              <w:t>Ограничительное устройство</w:t>
            </w:r>
          </w:p>
        </w:tc>
        <w:tc>
          <w:tcPr>
            <w:tcW w:w="515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27C04">
            <w:pPr>
              <w:jc w:val="both"/>
            </w:pPr>
            <w:r>
              <w:t>Устройство, срабатывающее при нарушении параметров технологического п</w:t>
            </w:r>
            <w:r>
              <w:t>роцесса или режима работы производственного оборудования</w:t>
            </w:r>
          </w:p>
        </w:tc>
      </w:tr>
      <w:bookmarkEnd w:id="0"/>
    </w:tbl>
    <w:p w:rsidR="00000000" w:rsidRDefault="00527C04">
      <w:pPr>
        <w:ind w:firstLine="284"/>
        <w:jc w:val="both"/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C04"/>
    <w:rsid w:val="0052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Company> 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