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533A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19533A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19533A">
      <w:pPr>
        <w:spacing w:before="120"/>
        <w:ind w:right="207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19533A">
      <w:pPr>
        <w:spacing w:before="120" w:after="120"/>
        <w:ind w:right="2070"/>
        <w:jc w:val="center"/>
        <w:rPr>
          <w:b/>
        </w:rPr>
      </w:pPr>
      <w:r>
        <w:rPr>
          <w:b/>
        </w:rPr>
        <w:t>ОБЩИЕ ТРЕБОВАНИЯ К МЕТОДАМ ОПРЕДЕЛЕНИЯ ПЛОТНОСТИ, ВЛАЖНОСТИ, ВОДОПОГЛОЩЕНИЯ, ПОРИСТОСТИ И ВОДОНЕПРОНИЦАЕМОСТИ</w:t>
      </w:r>
    </w:p>
    <w:p w:rsidR="00000000" w:rsidRDefault="0019533A">
      <w:pPr>
        <w:spacing w:after="120"/>
        <w:ind w:right="2070"/>
        <w:jc w:val="center"/>
      </w:pPr>
      <w:r>
        <w:t>ГОСТ 12730.0-78</w:t>
      </w:r>
    </w:p>
    <w:p w:rsidR="00000000" w:rsidRDefault="0019533A">
      <w:pPr>
        <w:pBdr>
          <w:bottom w:val="single" w:sz="6" w:space="1" w:color="auto"/>
        </w:pBdr>
        <w:ind w:right="2070"/>
        <w:jc w:val="center"/>
      </w:pPr>
      <w:r>
        <w:t>ГОСУДАРСТВЕННЫЙ СТАНДАРТ СОЮЗА ССР</w:t>
      </w:r>
    </w:p>
    <w:p w:rsidR="00000000" w:rsidRDefault="0019533A">
      <w:pPr>
        <w:spacing w:before="120"/>
        <w:ind w:right="2070" w:firstLine="1843"/>
        <w:jc w:val="both"/>
        <w:rPr>
          <w:b/>
        </w:rPr>
      </w:pPr>
      <w:r>
        <w:rPr>
          <w:b/>
        </w:rPr>
        <w:t>БЕТОНЫ</w:t>
      </w:r>
    </w:p>
    <w:p w:rsidR="00000000" w:rsidRDefault="0019533A">
      <w:pPr>
        <w:tabs>
          <w:tab w:val="left" w:pos="5387"/>
        </w:tabs>
        <w:ind w:right="2070"/>
        <w:jc w:val="both"/>
        <w:rPr>
          <w:b/>
        </w:rPr>
      </w:pPr>
      <w:r>
        <w:rPr>
          <w:b/>
        </w:rPr>
        <w:t>Общие требования к методам определения плотн</w:t>
      </w:r>
      <w:r>
        <w:rPr>
          <w:b/>
        </w:rPr>
        <w:t>ости,</w:t>
      </w:r>
      <w:r>
        <w:rPr>
          <w:b/>
        </w:rPr>
        <w:tab/>
        <w:t>ГОСТ</w:t>
      </w:r>
    </w:p>
    <w:p w:rsidR="00000000" w:rsidRDefault="0019533A">
      <w:pPr>
        <w:tabs>
          <w:tab w:val="left" w:pos="5245"/>
        </w:tabs>
        <w:ind w:right="2070" w:firstLine="567"/>
        <w:jc w:val="both"/>
        <w:rPr>
          <w:b/>
        </w:rPr>
      </w:pPr>
      <w:r>
        <w:rPr>
          <w:b/>
        </w:rPr>
        <w:t>влажности, водопоглощения, пористости</w:t>
      </w:r>
      <w:r>
        <w:rPr>
          <w:b/>
        </w:rPr>
        <w:tab/>
        <w:t>12730.0-78</w:t>
      </w:r>
    </w:p>
    <w:p w:rsidR="00000000" w:rsidRDefault="0019533A">
      <w:pPr>
        <w:ind w:right="2070" w:firstLine="1276"/>
        <w:jc w:val="both"/>
        <w:rPr>
          <w:b/>
        </w:rPr>
      </w:pPr>
      <w:r>
        <w:rPr>
          <w:b/>
        </w:rPr>
        <w:t>и водонепроницаемости</w:t>
      </w:r>
    </w:p>
    <w:p w:rsidR="00000000" w:rsidRDefault="0019533A">
      <w:pPr>
        <w:spacing w:before="120"/>
        <w:ind w:right="2070" w:firstLine="425"/>
        <w:jc w:val="both"/>
        <w:rPr>
          <w:lang w:val="en-US"/>
        </w:rPr>
      </w:pPr>
      <w:r>
        <w:rPr>
          <w:lang w:val="en-US"/>
        </w:rPr>
        <w:t xml:space="preserve"> Concretes. General requirements for methods of</w:t>
      </w:r>
    </w:p>
    <w:p w:rsidR="00000000" w:rsidRDefault="0019533A">
      <w:pPr>
        <w:ind w:right="2070" w:firstLine="426"/>
        <w:jc w:val="both"/>
        <w:rPr>
          <w:lang w:val="en-US"/>
        </w:rPr>
      </w:pPr>
      <w:r>
        <w:rPr>
          <w:lang w:val="en-US"/>
        </w:rPr>
        <w:t>determination of density, moisture content, water</w:t>
      </w:r>
    </w:p>
    <w:p w:rsidR="00000000" w:rsidRDefault="0019533A">
      <w:pPr>
        <w:pBdr>
          <w:bottom w:val="single" w:sz="6" w:space="1" w:color="auto"/>
        </w:pBdr>
        <w:ind w:right="2070" w:firstLine="851"/>
        <w:jc w:val="both"/>
        <w:rPr>
          <w:lang w:val="en-US"/>
        </w:rPr>
      </w:pPr>
      <w:r>
        <w:rPr>
          <w:lang w:val="en-US"/>
        </w:rPr>
        <w:t>absorptions porosity and watertightness</w:t>
      </w:r>
    </w:p>
    <w:p w:rsidR="00000000" w:rsidRDefault="0019533A">
      <w:pPr>
        <w:spacing w:after="120"/>
        <w:ind w:right="2070"/>
        <w:jc w:val="right"/>
        <w:rPr>
          <w:b/>
          <w:u w:val="single"/>
        </w:rPr>
      </w:pPr>
      <w:r>
        <w:rPr>
          <w:b/>
        </w:rPr>
        <w:t>Дата введения</w:t>
      </w:r>
      <w:r>
        <w:rPr>
          <w:b/>
          <w:u w:val="single"/>
        </w:rPr>
        <w:t xml:space="preserve"> 01.01.80</w:t>
      </w:r>
    </w:p>
    <w:p w:rsidR="00000000" w:rsidRDefault="0019533A">
      <w:pPr>
        <w:ind w:right="2070" w:firstLine="284"/>
        <w:jc w:val="both"/>
      </w:pPr>
      <w:r>
        <w:t>1. Настоящий стандарт распространяется на все виды бетонов, применяемые в промышленном, энергетическом, транспортном, водохозяйственном, сельскохозяйственном, жилищно-гражданском и других видах строительства.</w:t>
      </w:r>
    </w:p>
    <w:p w:rsidR="00000000" w:rsidRDefault="0019533A">
      <w:pPr>
        <w:ind w:right="2070" w:firstLine="284"/>
        <w:jc w:val="both"/>
      </w:pPr>
      <w:r>
        <w:t>Стандарт устанавливает общие требования к методам определени</w:t>
      </w:r>
      <w:r>
        <w:t>я плотности (объемной массы), влажности, водопоглощения, пористости и водонепроницаемости путем объемно-весовых испытаний образцов.</w:t>
      </w:r>
    </w:p>
    <w:p w:rsidR="00000000" w:rsidRDefault="0019533A">
      <w:pPr>
        <w:ind w:right="2070" w:firstLine="284"/>
        <w:jc w:val="both"/>
      </w:pPr>
      <w:r>
        <w:t>В стандарте учтены требования стандартов ИСО 1920, ИСО 2738 и рекомендации СЭВ по стандартизации РС 279 в части определения указанных характеристик бетонов.</w:t>
      </w:r>
    </w:p>
    <w:p w:rsidR="00000000" w:rsidRDefault="0019533A">
      <w:pPr>
        <w:ind w:right="2070" w:firstLine="284"/>
        <w:jc w:val="both"/>
      </w:pPr>
      <w:r>
        <w:t>2. Плотность, влажность, водопоглощение, пористость и водонепроницаемость бетона определяют испытанием образцов, изготовленных из бетонной смеси рабочего состава, либо выпиленных, выбуренных или выломанных из изделий и конс</w:t>
      </w:r>
      <w:r>
        <w:t>трукций.</w:t>
      </w:r>
    </w:p>
    <w:p w:rsidR="00000000" w:rsidRDefault="0019533A">
      <w:pPr>
        <w:ind w:right="2070" w:firstLine="284"/>
        <w:jc w:val="both"/>
      </w:pPr>
      <w:r>
        <w:t>3. Область применения методов определения плотности, влажности, водопоглощения, пористости и водонепроницаемости, а также нормы и порядок отбора проб для изготовления образцов и правила приемочного контроля должны указываться в стандартах или технических условиях на сборные бетонные и железобетонные изделия, а также в рабочих чертежах монолитных конструкций.</w:t>
      </w:r>
    </w:p>
    <w:p w:rsidR="00000000" w:rsidRDefault="0019533A">
      <w:pPr>
        <w:ind w:right="2070" w:firstLine="284"/>
        <w:jc w:val="both"/>
      </w:pPr>
      <w:r>
        <w:t>4. Образцы для испытания бетонов могут иметь как правильную, так и неправильную геометрическую форму.</w:t>
      </w:r>
    </w:p>
    <w:p w:rsidR="00000000" w:rsidRDefault="0019533A">
      <w:pPr>
        <w:ind w:right="2070" w:firstLine="284"/>
        <w:jc w:val="both"/>
      </w:pPr>
      <w:r>
        <w:t>Плотность бетонов на пористых заполнител</w:t>
      </w:r>
      <w:r>
        <w:t>ях и ячеистых бетонов при производственном контроле определяют испытанием образцов правильной геометрической формы, предназначенных для определения прочности бетона.</w:t>
      </w:r>
    </w:p>
    <w:p w:rsidR="00000000" w:rsidRDefault="0019533A">
      <w:pPr>
        <w:ind w:right="2070" w:firstLine="284"/>
        <w:jc w:val="both"/>
      </w:pPr>
      <w:r>
        <w:t>Водонепроницаемость бетонов определяют испытанием образцов-цилиндров диаметром и высотой 150 мм, специально изготовленных или выбуренных из конструкций или сооружений.</w:t>
      </w:r>
    </w:p>
    <w:p w:rsidR="00000000" w:rsidRDefault="0019533A">
      <w:pPr>
        <w:ind w:right="2070" w:firstLine="284"/>
        <w:jc w:val="both"/>
      </w:pPr>
      <w:r>
        <w:t>5. Номинальные размеры образцов правильной геометрической формы, методы их изготовления, а также выпиливания и выбуривания из конструкций должны применяться по ГОСТ 10180.</w:t>
      </w:r>
    </w:p>
    <w:p w:rsidR="00000000" w:rsidRDefault="0019533A">
      <w:pPr>
        <w:spacing w:before="120"/>
        <w:ind w:right="2070" w:firstLine="284"/>
        <w:jc w:val="both"/>
        <w:rPr>
          <w:sz w:val="16"/>
        </w:rPr>
      </w:pPr>
      <w:r>
        <w:rPr>
          <w:sz w:val="16"/>
        </w:rPr>
        <w:t>Примеч</w:t>
      </w:r>
      <w:r>
        <w:rPr>
          <w:sz w:val="16"/>
        </w:rPr>
        <w:t>ания:</w:t>
      </w:r>
    </w:p>
    <w:p w:rsidR="00000000" w:rsidRDefault="0019533A">
      <w:pPr>
        <w:ind w:right="2070" w:firstLine="284"/>
        <w:jc w:val="both"/>
        <w:rPr>
          <w:sz w:val="16"/>
        </w:rPr>
      </w:pPr>
      <w:r>
        <w:rPr>
          <w:sz w:val="16"/>
        </w:rPr>
        <w:t>1. При определении плотности, влажности, водопоглощения и пористости не допускается испытание образцов, изготовленных из бетонных смесей, из которых удалены крупные зерна заполнителя.</w:t>
      </w:r>
    </w:p>
    <w:p w:rsidR="00000000" w:rsidRDefault="0019533A">
      <w:pPr>
        <w:spacing w:after="120"/>
        <w:ind w:right="2070" w:firstLine="284"/>
        <w:jc w:val="both"/>
        <w:rPr>
          <w:sz w:val="16"/>
        </w:rPr>
      </w:pPr>
      <w:r>
        <w:rPr>
          <w:sz w:val="16"/>
        </w:rPr>
        <w:t>2. При изготовлении образцов, предназначенных для определения водонепро</w:t>
      </w:r>
      <w:r>
        <w:rPr>
          <w:sz w:val="16"/>
        </w:rPr>
        <w:softHyphen/>
        <w:t>ницаемости, из бетонной смеси следует удалять зерна заполнителя размером более 40 мм.</w:t>
      </w:r>
    </w:p>
    <w:p w:rsidR="00000000" w:rsidRDefault="0019533A">
      <w:pPr>
        <w:ind w:right="2070" w:firstLine="284"/>
        <w:jc w:val="both"/>
      </w:pPr>
      <w:r>
        <w:t>6. Объем образцов неправильной геометрической формы, выбуренных или выломанных из изделий и конструкций, должен соответствовать указанным в таблице.</w:t>
      </w:r>
    </w:p>
    <w:p w:rsidR="00000000" w:rsidRDefault="0019533A">
      <w:pPr>
        <w:ind w:right="2070"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9533A">
            <w:pPr>
              <w:jc w:val="center"/>
            </w:pPr>
            <w:r>
              <w:t>Наибольший раз</w:t>
            </w:r>
            <w:r>
              <w:t>мер зерна заполнителя,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9533A">
            <w:pPr>
              <w:jc w:val="center"/>
            </w:pPr>
            <w:r>
              <w:t>Наименьший объем образца, дм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19533A">
            <w:pPr>
              <w:ind w:firstLine="709"/>
            </w:pPr>
            <w:r>
              <w:t>20 и менее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19533A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19533A">
            <w:pPr>
              <w:ind w:firstLine="709"/>
            </w:pPr>
            <w:r>
              <w:t>40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19533A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19533A">
            <w:pPr>
              <w:ind w:firstLine="709"/>
            </w:pPr>
            <w:r>
              <w:t>70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19533A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19533A">
            <w:pPr>
              <w:ind w:firstLine="709"/>
            </w:pPr>
            <w:r>
              <w:t>100 и более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19533A">
            <w:pPr>
              <w:jc w:val="center"/>
            </w:pPr>
            <w:r>
              <w:t>27</w:t>
            </w:r>
          </w:p>
        </w:tc>
      </w:tr>
    </w:tbl>
    <w:p w:rsidR="00000000" w:rsidRDefault="0019533A">
      <w:pPr>
        <w:ind w:right="2070" w:firstLine="284"/>
        <w:jc w:val="both"/>
      </w:pPr>
    </w:p>
    <w:p w:rsidR="00000000" w:rsidRDefault="0019533A">
      <w:pPr>
        <w:ind w:right="2070" w:firstLine="284"/>
        <w:jc w:val="both"/>
      </w:pPr>
      <w:r>
        <w:t>7. Образцы изготавливают и испытывают сериями. Серия должна состоять из 3 образцов.</w:t>
      </w:r>
    </w:p>
    <w:p w:rsidR="00000000" w:rsidRDefault="0019533A">
      <w:pPr>
        <w:ind w:right="2070" w:firstLine="284"/>
        <w:jc w:val="both"/>
      </w:pPr>
      <w:r>
        <w:t>В случаях определения прочности бетона по ГОСТ 10180 испытанием серии из 2 образцов с одновременным использованием этих образцов для определения плотности, влажности или водопоглощения проводят испытание серий, состоящих также из 2 образцов.</w:t>
      </w:r>
    </w:p>
    <w:p w:rsidR="00000000" w:rsidRDefault="0019533A">
      <w:pPr>
        <w:ind w:right="2070" w:firstLine="284"/>
        <w:jc w:val="both"/>
      </w:pPr>
      <w:r>
        <w:t>Серия образцов для определения водонепроницаемости должна состоять из 6 образцов.</w:t>
      </w:r>
    </w:p>
    <w:p w:rsidR="00000000" w:rsidRDefault="0019533A">
      <w:pPr>
        <w:ind w:right="2070" w:firstLine="284"/>
        <w:jc w:val="both"/>
      </w:pPr>
      <w:r>
        <w:t>8. М</w:t>
      </w:r>
      <w:r>
        <w:t xml:space="preserve">ассу образцов определяют с погрешностью не более 0,1%. </w:t>
      </w:r>
    </w:p>
    <w:p w:rsidR="00000000" w:rsidRDefault="0019533A">
      <w:pPr>
        <w:ind w:right="2070" w:firstLine="284"/>
        <w:jc w:val="both"/>
      </w:pPr>
      <w:r>
        <w:t>9. Объем образцов неправильной геометрической формы определяют с погрешностью не более 1%.</w:t>
      </w:r>
    </w:p>
    <w:p w:rsidR="00000000" w:rsidRDefault="0019533A">
      <w:pPr>
        <w:ind w:right="2070" w:firstLine="284"/>
        <w:jc w:val="both"/>
      </w:pPr>
      <w:r>
        <w:t>10. Температура воздуха в помещении, в котором проводят испытания образцов, должна быть (25</w:t>
      </w:r>
      <w:r>
        <w:sym w:font="Times New Roman" w:char="00B1"/>
      </w:r>
      <w:r>
        <w:t>10)</w:t>
      </w:r>
      <w:r>
        <w:sym w:font="Times New Roman" w:char="00B0"/>
      </w:r>
      <w:r>
        <w:t>С, а относительная влажность (50</w:t>
      </w:r>
      <w:r>
        <w:sym w:font="Times New Roman" w:char="00B1"/>
      </w:r>
      <w:r>
        <w:t>20) %.</w:t>
      </w:r>
    </w:p>
    <w:p w:rsidR="00000000" w:rsidRDefault="0019533A">
      <w:pPr>
        <w:ind w:right="2070" w:firstLine="284"/>
        <w:jc w:val="both"/>
      </w:pPr>
      <w:r>
        <w:t>При определении водонепроницаемости температура в помещении должна быть (20</w:t>
      </w:r>
      <w:r>
        <w:sym w:font="Times New Roman" w:char="00B1"/>
      </w:r>
      <w:r>
        <w:t xml:space="preserve">5) </w:t>
      </w:r>
      <w:r>
        <w:sym w:font="Times New Roman" w:char="00B0"/>
      </w:r>
      <w:r>
        <w:t>С, а относительная влажность воздуха - не менее 60%.</w:t>
      </w:r>
    </w:p>
    <w:p w:rsidR="00000000" w:rsidRDefault="0019533A">
      <w:pPr>
        <w:ind w:right="2070" w:firstLine="284"/>
        <w:jc w:val="both"/>
      </w:pPr>
      <w:r>
        <w:t>11. Результаты испытаний образцов заносят в журнал испытаний, на основании которого показатели с</w:t>
      </w:r>
      <w:r>
        <w:t>войств бетонов включают в паспорт или другой документ, характеризующий качество бетона.</w:t>
      </w:r>
    </w:p>
    <w:p w:rsidR="00000000" w:rsidRDefault="0019533A">
      <w:pPr>
        <w:ind w:right="2070" w:firstLine="284"/>
        <w:jc w:val="both"/>
      </w:pPr>
    </w:p>
    <w:p w:rsidR="00000000" w:rsidRDefault="0019533A">
      <w:pPr>
        <w:spacing w:after="120"/>
        <w:ind w:right="2070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19533A">
      <w:pPr>
        <w:ind w:left="284" w:right="2070"/>
        <w:jc w:val="both"/>
        <w:rPr>
          <w:b/>
        </w:rPr>
      </w:pPr>
      <w:r>
        <w:rPr>
          <w:b/>
        </w:rPr>
        <w:t>1. РАЗРАБОТАН Государственным комитетом СССР по делам строительства, Министерством энергетики и электрификации СССР</w:t>
      </w:r>
    </w:p>
    <w:p w:rsidR="00000000" w:rsidRDefault="0019533A">
      <w:pPr>
        <w:spacing w:before="120"/>
        <w:ind w:right="2070"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19533A">
      <w:pPr>
        <w:spacing w:before="120"/>
        <w:ind w:left="426" w:right="2070"/>
        <w:jc w:val="both"/>
        <w:rPr>
          <w:b/>
        </w:rPr>
      </w:pPr>
      <w:r>
        <w:rPr>
          <w:b/>
        </w:rPr>
        <w:t xml:space="preserve">М. И. Бруссер, </w:t>
      </w:r>
      <w:r>
        <w:t>канд. техн. наук (руководитель темы);</w:t>
      </w:r>
      <w:r>
        <w:rPr>
          <w:b/>
        </w:rPr>
        <w:t xml:space="preserve"> Л. А. Малинина, </w:t>
      </w:r>
      <w:r>
        <w:t>д-р. техн. наук;</w:t>
      </w:r>
      <w:r>
        <w:rPr>
          <w:b/>
        </w:rPr>
        <w:t xml:space="preserve"> А. Т. Баранов, </w:t>
      </w:r>
      <w:r>
        <w:t>канд. техн. наук;</w:t>
      </w:r>
      <w:r>
        <w:rPr>
          <w:b/>
        </w:rPr>
        <w:t xml:space="preserve"> Г. А. Бужевич, </w:t>
      </w:r>
      <w:r>
        <w:t>канд. техн. наук</w:t>
      </w:r>
      <w:r>
        <w:rPr>
          <w:b/>
        </w:rPr>
        <w:t xml:space="preserve">; Л. И. Карпикова, </w:t>
      </w:r>
      <w:r>
        <w:t>канд. техн. наук;</w:t>
      </w:r>
      <w:r>
        <w:rPr>
          <w:b/>
        </w:rPr>
        <w:t xml:space="preserve"> Т. А. Ухова, </w:t>
      </w:r>
      <w:r>
        <w:t>канд. техн. наук;</w:t>
      </w:r>
      <w:r>
        <w:rPr>
          <w:b/>
        </w:rPr>
        <w:t xml:space="preserve"> Ю. А. Саввина, </w:t>
      </w:r>
      <w:r>
        <w:t>канд. техн. наук;</w:t>
      </w:r>
      <w:r>
        <w:rPr>
          <w:b/>
        </w:rPr>
        <w:t xml:space="preserve"> Ю. А. Белов; В. Л. Ру</w:t>
      </w:r>
      <w:r>
        <w:rPr>
          <w:b/>
        </w:rPr>
        <w:t xml:space="preserve">бецкой; Н. В. Мякошин; В. Г. Довжик,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В. А. Пискарев, </w:t>
      </w:r>
      <w:r>
        <w:t>канд. техн. наук;</w:t>
      </w:r>
      <w:r>
        <w:rPr>
          <w:b/>
        </w:rPr>
        <w:t xml:space="preserve"> Г. Я. Амханицкий, </w:t>
      </w:r>
      <w:r>
        <w:t>канд. техн. наук;</w:t>
      </w:r>
      <w:r>
        <w:rPr>
          <w:b/>
        </w:rPr>
        <w:t xml:space="preserve"> Е. Н. Леонтьев, </w:t>
      </w:r>
      <w:r>
        <w:t>канд. техн. наук;</w:t>
      </w:r>
      <w:r>
        <w:rPr>
          <w:b/>
        </w:rPr>
        <w:t xml:space="preserve"> В. Н. Тарасова, </w:t>
      </w:r>
      <w:r>
        <w:t>канд. техн. наук;</w:t>
      </w:r>
      <w:r>
        <w:rPr>
          <w:b/>
        </w:rPr>
        <w:t xml:space="preserve"> Л. И. Левин; В. А. Дорф, </w:t>
      </w:r>
      <w:r>
        <w:t>канд. техн. наук;</w:t>
      </w:r>
      <w:r>
        <w:rPr>
          <w:b/>
        </w:rPr>
        <w:t xml:space="preserve"> Ю. Г. Хаютин, </w:t>
      </w:r>
      <w:r>
        <w:t>канд. техн. наук;</w:t>
      </w:r>
      <w:r>
        <w:rPr>
          <w:b/>
        </w:rPr>
        <w:t xml:space="preserve"> В. Б. Судаков, </w:t>
      </w:r>
      <w:r>
        <w:t>канд. техн. наук;</w:t>
      </w:r>
      <w:r>
        <w:rPr>
          <w:b/>
        </w:rPr>
        <w:t xml:space="preserve"> Ц. Г. Гинзбург, </w:t>
      </w:r>
      <w:r>
        <w:t>канд. техн. наук;</w:t>
      </w:r>
      <w:r>
        <w:rPr>
          <w:b/>
        </w:rPr>
        <w:t xml:space="preserve"> Р. Е. Литвинова, </w:t>
      </w:r>
      <w:r>
        <w:t>канд. хим. наук;</w:t>
      </w:r>
      <w:r>
        <w:rPr>
          <w:b/>
        </w:rPr>
        <w:t xml:space="preserve"> А. Г. Малиновский; С. Н. Левин, </w:t>
      </w:r>
      <w:r>
        <w:t>канд. техн. наук</w:t>
      </w:r>
    </w:p>
    <w:p w:rsidR="00000000" w:rsidRDefault="0019533A">
      <w:pPr>
        <w:spacing w:before="120"/>
        <w:ind w:left="284" w:right="2070"/>
        <w:jc w:val="both"/>
        <w:rPr>
          <w:b/>
        </w:rPr>
      </w:pPr>
      <w:r>
        <w:rPr>
          <w:b/>
        </w:rPr>
        <w:t>ВНЕСЕН Государственным комитетом СССР по делам строительства</w:t>
      </w:r>
    </w:p>
    <w:p w:rsidR="00000000" w:rsidRDefault="0019533A">
      <w:pPr>
        <w:spacing w:before="120"/>
        <w:ind w:left="284" w:right="2070"/>
        <w:jc w:val="both"/>
        <w:rPr>
          <w:b/>
        </w:rPr>
      </w:pPr>
      <w:r>
        <w:rPr>
          <w:b/>
        </w:rPr>
        <w:t xml:space="preserve">2. УТВЕРЖДЕН И ВВЕДЕН В ДЕЙСТВИЕ </w:t>
      </w:r>
      <w:r>
        <w:rPr>
          <w:b/>
        </w:rPr>
        <w:t>Постановлением Государственного комитета СССР по делам строительства от 22.12.78 № 242</w:t>
      </w:r>
    </w:p>
    <w:p w:rsidR="00000000" w:rsidRDefault="0019533A">
      <w:pPr>
        <w:ind w:left="284" w:right="2070"/>
        <w:jc w:val="both"/>
        <w:rPr>
          <w:b/>
        </w:rPr>
      </w:pPr>
      <w:r>
        <w:rPr>
          <w:b/>
        </w:rPr>
        <w:t>3. ВЗАМЕН ГОСТ 12730-67, ГОСТ 11050-64, ГОСТ 4800-59 в части общих требований</w:t>
      </w:r>
    </w:p>
    <w:p w:rsidR="00000000" w:rsidRDefault="0019533A">
      <w:pPr>
        <w:spacing w:before="120" w:after="120"/>
        <w:ind w:right="2070" w:firstLine="284"/>
        <w:jc w:val="both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1953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835" w:type="dxa"/>
          </w:tcPr>
          <w:p w:rsidR="00000000" w:rsidRDefault="001953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19533A">
            <w:pPr>
              <w:ind w:firstLine="567"/>
              <w:jc w:val="both"/>
              <w:rPr>
                <w:sz w:val="16"/>
              </w:rPr>
            </w:pPr>
            <w:r>
              <w:rPr>
                <w:sz w:val="16"/>
              </w:rPr>
              <w:t>ГОСТ 10180-90</w:t>
            </w:r>
          </w:p>
        </w:tc>
        <w:tc>
          <w:tcPr>
            <w:tcW w:w="2835" w:type="dxa"/>
          </w:tcPr>
          <w:p w:rsidR="00000000" w:rsidRDefault="0019533A">
            <w:pPr>
              <w:ind w:firstLine="318"/>
              <w:jc w:val="both"/>
              <w:rPr>
                <w:sz w:val="16"/>
              </w:rPr>
            </w:pPr>
            <w:r>
              <w:rPr>
                <w:sz w:val="16"/>
              </w:rPr>
              <w:t>5;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19533A">
            <w:pPr>
              <w:ind w:firstLine="567"/>
              <w:jc w:val="both"/>
              <w:rPr>
                <w:sz w:val="16"/>
              </w:rPr>
            </w:pPr>
            <w:r>
              <w:rPr>
                <w:sz w:val="16"/>
              </w:rPr>
              <w:t>ИСО 1920-76</w:t>
            </w:r>
          </w:p>
        </w:tc>
        <w:tc>
          <w:tcPr>
            <w:tcW w:w="2835" w:type="dxa"/>
          </w:tcPr>
          <w:p w:rsidR="00000000" w:rsidRDefault="0019533A">
            <w:pPr>
              <w:ind w:firstLine="318"/>
              <w:jc w:val="both"/>
              <w:rPr>
                <w:sz w:val="16"/>
              </w:rPr>
            </w:pPr>
            <w:r>
              <w:rPr>
                <w:sz w:val="16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19533A">
            <w:pPr>
              <w:ind w:firstLine="567"/>
              <w:jc w:val="both"/>
              <w:rPr>
                <w:sz w:val="16"/>
              </w:rPr>
            </w:pPr>
            <w:r>
              <w:rPr>
                <w:sz w:val="16"/>
              </w:rPr>
              <w:t>ИСО 2738-77</w:t>
            </w:r>
          </w:p>
        </w:tc>
        <w:tc>
          <w:tcPr>
            <w:tcW w:w="2835" w:type="dxa"/>
          </w:tcPr>
          <w:p w:rsidR="00000000" w:rsidRDefault="0019533A">
            <w:pPr>
              <w:ind w:firstLine="318"/>
              <w:jc w:val="both"/>
              <w:rPr>
                <w:sz w:val="16"/>
              </w:rPr>
            </w:pPr>
            <w:r>
              <w:rPr>
                <w:sz w:val="16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19533A">
            <w:pPr>
              <w:ind w:firstLine="567"/>
              <w:jc w:val="both"/>
              <w:rPr>
                <w:sz w:val="16"/>
              </w:rPr>
            </w:pPr>
            <w:r>
              <w:rPr>
                <w:sz w:val="16"/>
              </w:rPr>
              <w:t>РС 279-65</w:t>
            </w:r>
          </w:p>
        </w:tc>
        <w:tc>
          <w:tcPr>
            <w:tcW w:w="2835" w:type="dxa"/>
          </w:tcPr>
          <w:p w:rsidR="00000000" w:rsidRDefault="0019533A">
            <w:pPr>
              <w:ind w:firstLine="318"/>
              <w:jc w:val="both"/>
              <w:rPr>
                <w:sz w:val="16"/>
              </w:rPr>
            </w:pPr>
            <w:r>
              <w:rPr>
                <w:sz w:val="16"/>
              </w:rPr>
              <w:t>"</w:t>
            </w:r>
          </w:p>
        </w:tc>
      </w:tr>
    </w:tbl>
    <w:p w:rsidR="00000000" w:rsidRDefault="0019533A">
      <w:pPr>
        <w:spacing w:before="120"/>
        <w:ind w:right="2070" w:firstLine="284"/>
        <w:jc w:val="both"/>
      </w:pPr>
      <w:r>
        <w:t>5. ПЕРЕИЗДАНИЕ. Июнь 1994 г.</w:t>
      </w:r>
    </w:p>
    <w:p w:rsidR="00000000" w:rsidRDefault="0019533A">
      <w:pPr>
        <w:ind w:right="2070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33A"/>
    <w:rsid w:val="001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4454</Characters>
  <Application>Microsoft Office Word</Application>
  <DocSecurity>0</DocSecurity>
  <Lines>37</Lines>
  <Paragraphs>10</Paragraphs>
  <ScaleCrop>false</ScaleCrop>
  <Company>СНИиП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12730.0-78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25259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