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104C">
      <w:pPr>
        <w:spacing w:before="120"/>
        <w:ind w:right="2069"/>
        <w:jc w:val="center"/>
        <w:rPr>
          <w:b/>
          <w:spacing w:val="20"/>
        </w:rPr>
      </w:pPr>
      <w:bookmarkStart w:id="0" w:name="_GoBack"/>
      <w:bookmarkEnd w:id="0"/>
      <w:r>
        <w:rPr>
          <w:b/>
          <w:spacing w:val="20"/>
        </w:rPr>
        <w:t>ГОСУДАРСТВЕННЫЙ СТАНДАРТ СОЮЗА ССР</w:t>
      </w:r>
    </w:p>
    <w:p w:rsidR="00000000" w:rsidRDefault="00E5104C">
      <w:pPr>
        <w:spacing w:before="120"/>
        <w:ind w:right="2069"/>
        <w:jc w:val="center"/>
      </w:pPr>
    </w:p>
    <w:p w:rsidR="00000000" w:rsidRDefault="00E5104C">
      <w:pPr>
        <w:spacing w:before="120"/>
        <w:ind w:right="2069"/>
        <w:jc w:val="center"/>
        <w:rPr>
          <w:b/>
        </w:rPr>
      </w:pPr>
      <w:r>
        <w:rPr>
          <w:b/>
        </w:rPr>
        <w:t>КОНСТРУКЦИИ И ИЗДЕЛИЯ БЕТОННЫЕ И ЖЕЛЕЗОБЕТОННЫЕ СБОРНЫЕ</w:t>
      </w:r>
    </w:p>
    <w:p w:rsidR="00000000" w:rsidRDefault="00E5104C">
      <w:pPr>
        <w:spacing w:before="120"/>
        <w:ind w:right="2069"/>
        <w:jc w:val="center"/>
      </w:pPr>
      <w:r>
        <w:rPr>
          <w:b/>
        </w:rPr>
        <w:t>Приемка</w:t>
      </w:r>
    </w:p>
    <w:p w:rsidR="00000000" w:rsidRDefault="00E5104C">
      <w:pPr>
        <w:spacing w:before="120"/>
        <w:ind w:right="2069"/>
        <w:jc w:val="center"/>
      </w:pPr>
      <w:r>
        <w:rPr>
          <w:lang w:val="en-US"/>
        </w:rPr>
        <w:t>Prefabricated concrete and reinforced concrete constructions and products. Acceptance</w:t>
      </w:r>
    </w:p>
    <w:p w:rsidR="00000000" w:rsidRDefault="00E5104C">
      <w:pPr>
        <w:spacing w:before="120"/>
        <w:ind w:right="2069"/>
        <w:jc w:val="center"/>
        <w:rPr>
          <w:b/>
        </w:rPr>
      </w:pPr>
      <w:r>
        <w:rPr>
          <w:b/>
        </w:rPr>
        <w:t>ГОСТ 13015.1-81</w:t>
      </w:r>
    </w:p>
    <w:p w:rsidR="00000000" w:rsidRDefault="00E5104C">
      <w:pPr>
        <w:ind w:right="2069"/>
        <w:jc w:val="center"/>
        <w:rPr>
          <w:lang w:val="en-US"/>
        </w:rPr>
      </w:pPr>
    </w:p>
    <w:p w:rsidR="00000000" w:rsidRDefault="00E5104C">
      <w:pPr>
        <w:spacing w:after="120"/>
        <w:ind w:right="2069" w:firstLine="284"/>
        <w:jc w:val="right"/>
      </w:pPr>
      <w:r>
        <w:t xml:space="preserve">Дата введения </w:t>
      </w:r>
      <w:r>
        <w:rPr>
          <w:u w:val="single"/>
        </w:rPr>
        <w:t>01.07.82</w:t>
      </w:r>
    </w:p>
    <w:p w:rsidR="00000000" w:rsidRDefault="00E5104C">
      <w:pPr>
        <w:spacing w:after="120"/>
        <w:ind w:right="2069"/>
        <w:jc w:val="center"/>
        <w:rPr>
          <w:b/>
        </w:rPr>
      </w:pPr>
      <w:r>
        <w:rPr>
          <w:b/>
        </w:rPr>
        <w:t>Несоблюдение стандарта преслед</w:t>
      </w:r>
      <w:r>
        <w:rPr>
          <w:b/>
        </w:rPr>
        <w:t>уется по закону</w:t>
      </w:r>
    </w:p>
    <w:p w:rsidR="00000000" w:rsidRDefault="00E5104C">
      <w:pPr>
        <w:ind w:right="2069" w:firstLine="284"/>
      </w:pPr>
      <w:r>
        <w:t>1. Настоящий стандарт распространяется на сборные бетонные и железобетонные конструкции и изделия (далее — конструкции), предназначенные для строительства всех видов, и устанавливает общие правила их приемки.</w:t>
      </w:r>
    </w:p>
    <w:p w:rsidR="00000000" w:rsidRDefault="00E5104C">
      <w:pPr>
        <w:ind w:right="2069" w:firstLine="284"/>
      </w:pPr>
      <w:r>
        <w:t>Принятые в стандарте термины и их определения соответствуют ГОСТ 16504 и ГОСТ 15895.</w:t>
      </w:r>
    </w:p>
    <w:p w:rsidR="00000000" w:rsidRDefault="00E5104C">
      <w:pPr>
        <w:ind w:right="2069" w:firstLine="284"/>
      </w:pPr>
      <w:r>
        <w:t>2. Конструкции должны быть приняты отделом технического контроля (ОТК) предприятия-изготовителя в соответствии с требованиями настоящего стандарта и стандартов или технических условий на конструкции кон</w:t>
      </w:r>
      <w:r>
        <w:t>кретных видов.</w:t>
      </w:r>
    </w:p>
    <w:p w:rsidR="00000000" w:rsidRDefault="00E5104C">
      <w:pPr>
        <w:ind w:right="2069" w:firstLine="284"/>
      </w:pPr>
      <w:r>
        <w:t>3. Соответствие показателей качества бетонных и железобетонных конструкций и параметры технологических режимов производства нормируемым показателям, указанным в стандартах или технических условиях на конструкции конкретных видов, и требованиям технологической документации устанавливают по данным входного, операционного и приемочного контроля.</w:t>
      </w:r>
    </w:p>
    <w:p w:rsidR="00000000" w:rsidRDefault="00E5104C">
      <w:pPr>
        <w:ind w:right="2069" w:firstLine="284"/>
      </w:pPr>
      <w:r>
        <w:t>Номенклатура показателей качества конструкций и параметры технологических режимов, подвергаемые входному, операционному и приемочному контролю, приведен</w:t>
      </w:r>
      <w:r>
        <w:t>а в табл. 1.</w:t>
      </w:r>
    </w:p>
    <w:p w:rsidR="00000000" w:rsidRDefault="00E5104C">
      <w:pPr>
        <w:spacing w:before="120" w:after="120"/>
        <w:ind w:right="2069" w:firstLine="284"/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</w:t>
      </w:r>
      <w:r>
        <w:t>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4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104C">
            <w:pPr>
              <w:ind w:right="43"/>
              <w:jc w:val="center"/>
            </w:pPr>
            <w:r>
              <w:t>Контроль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5104C">
            <w:pPr>
              <w:ind w:right="43"/>
              <w:jc w:val="center"/>
            </w:pPr>
            <w:r>
              <w:t>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right w:val="single" w:sz="6" w:space="0" w:color="auto"/>
            </w:tcBorders>
          </w:tcPr>
          <w:p w:rsidR="00000000" w:rsidRDefault="00E5104C">
            <w:pPr>
              <w:ind w:right="43"/>
            </w:pPr>
            <w:r>
              <w:t>Входной</w:t>
            </w:r>
          </w:p>
        </w:tc>
        <w:tc>
          <w:tcPr>
            <w:tcW w:w="4261" w:type="dxa"/>
            <w:tcBorders>
              <w:left w:val="nil"/>
            </w:tcBorders>
          </w:tcPr>
          <w:p w:rsidR="00000000" w:rsidRDefault="00E5104C">
            <w:pPr>
              <w:ind w:right="43" w:firstLine="176"/>
            </w:pPr>
            <w:r>
              <w:t>Качество:</w:t>
            </w:r>
          </w:p>
          <w:p w:rsidR="00000000" w:rsidRDefault="00E5104C">
            <w:pPr>
              <w:ind w:right="43" w:firstLine="176"/>
            </w:pPr>
            <w:r>
              <w:t>материалов, применяемых для приготовления бетона (вяжущие, заполнители для бетона, добавки и др.);</w:t>
            </w:r>
          </w:p>
          <w:p w:rsidR="00000000" w:rsidRDefault="00E5104C">
            <w:pPr>
              <w:ind w:right="43" w:firstLine="176"/>
            </w:pPr>
            <w:r>
              <w:t>стали, применяемой для изготовления арматурных и закладных изделий;</w:t>
            </w:r>
          </w:p>
          <w:p w:rsidR="00000000" w:rsidRDefault="00E5104C">
            <w:pPr>
              <w:ind w:right="43" w:firstLine="176"/>
            </w:pPr>
            <w:r>
              <w:t>закладных и арматурных изделий, поставляемых на завод в готовом виде;</w:t>
            </w:r>
          </w:p>
          <w:p w:rsidR="00000000" w:rsidRDefault="00E5104C">
            <w:pPr>
              <w:ind w:right="43" w:firstLine="176"/>
            </w:pPr>
            <w:r>
              <w:t>комплектующих деталей, отделочных, изоляционных и других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right w:val="single" w:sz="6" w:space="0" w:color="auto"/>
            </w:tcBorders>
          </w:tcPr>
          <w:p w:rsidR="00000000" w:rsidRDefault="00E5104C">
            <w:pPr>
              <w:ind w:right="43"/>
            </w:pPr>
            <w:r>
              <w:t>Операционный</w:t>
            </w:r>
          </w:p>
        </w:tc>
        <w:tc>
          <w:tcPr>
            <w:tcW w:w="4261" w:type="dxa"/>
            <w:tcBorders>
              <w:left w:val="nil"/>
            </w:tcBorders>
          </w:tcPr>
          <w:p w:rsidR="00000000" w:rsidRDefault="00E5104C">
            <w:pPr>
              <w:ind w:right="43" w:firstLine="176"/>
            </w:pPr>
            <w:r>
              <w:t xml:space="preserve">Вид бетона, его состав, свойства бетонной смеси </w:t>
            </w:r>
          </w:p>
          <w:p w:rsidR="00000000" w:rsidRDefault="00E5104C">
            <w:pPr>
              <w:ind w:right="43" w:firstLine="176"/>
            </w:pPr>
            <w:r>
              <w:t xml:space="preserve">Вид и диаметр арматурной стали, размеры стержней и арматурных элементов, качество </w:t>
            </w:r>
            <w:r>
              <w:t>сварных соединений (по внешнему виду)</w:t>
            </w:r>
          </w:p>
          <w:p w:rsidR="00000000" w:rsidRDefault="00E5104C">
            <w:pPr>
              <w:ind w:right="43" w:firstLine="176"/>
            </w:pPr>
            <w:r>
              <w:t>Положение арматурных и закладных изделий в форме</w:t>
            </w:r>
          </w:p>
          <w:p w:rsidR="00000000" w:rsidRDefault="00E5104C">
            <w:pPr>
              <w:ind w:right="43" w:firstLine="176"/>
            </w:pPr>
            <w:r>
              <w:t xml:space="preserve">Контролируемое натяжение арматуры </w:t>
            </w:r>
          </w:p>
          <w:p w:rsidR="00000000" w:rsidRDefault="00E5104C">
            <w:pPr>
              <w:ind w:right="43" w:firstLine="176"/>
            </w:pPr>
            <w:r>
              <w:t xml:space="preserve">Геометрические размеры собранных форм </w:t>
            </w:r>
          </w:p>
          <w:p w:rsidR="00000000" w:rsidRDefault="00E5104C">
            <w:pPr>
              <w:ind w:right="43" w:firstLine="176"/>
            </w:pPr>
            <w:r>
              <w:t xml:space="preserve">Качество смазки и ее нанесение на форму </w:t>
            </w:r>
          </w:p>
          <w:p w:rsidR="00000000" w:rsidRDefault="00E5104C">
            <w:pPr>
              <w:ind w:right="43" w:firstLine="176"/>
            </w:pPr>
            <w:r>
              <w:t>Параметры технологических режимов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right w:val="single" w:sz="6" w:space="0" w:color="auto"/>
            </w:tcBorders>
          </w:tcPr>
          <w:p w:rsidR="00000000" w:rsidRDefault="00E5104C">
            <w:pPr>
              <w:ind w:right="43" w:firstLine="284"/>
            </w:pPr>
            <w:r>
              <w:lastRenderedPageBreak/>
              <w:t xml:space="preserve">Приемочный, в том числе испытания: </w:t>
            </w:r>
          </w:p>
          <w:p w:rsidR="00000000" w:rsidRDefault="00E5104C">
            <w:pPr>
              <w:ind w:right="43" w:firstLine="284"/>
            </w:pPr>
            <w:r>
              <w:t>периодические</w:t>
            </w:r>
          </w:p>
          <w:p w:rsidR="00000000" w:rsidRDefault="00E5104C">
            <w:pPr>
              <w:ind w:right="43"/>
            </w:pPr>
          </w:p>
        </w:tc>
        <w:tc>
          <w:tcPr>
            <w:tcW w:w="4261" w:type="dxa"/>
            <w:tcBorders>
              <w:left w:val="nil"/>
            </w:tcBorders>
          </w:tcPr>
          <w:p w:rsidR="00000000" w:rsidRDefault="00E5104C">
            <w:pPr>
              <w:ind w:right="43" w:firstLine="176"/>
            </w:pPr>
          </w:p>
          <w:p w:rsidR="00000000" w:rsidRDefault="00E5104C">
            <w:pPr>
              <w:ind w:right="43" w:firstLine="176"/>
            </w:pPr>
          </w:p>
          <w:p w:rsidR="00000000" w:rsidRDefault="00E5104C">
            <w:pPr>
              <w:ind w:right="43" w:firstLine="176"/>
            </w:pPr>
            <w:r>
              <w:t>Прочность, жесткость и трещиностойкость конструкций</w:t>
            </w:r>
          </w:p>
          <w:p w:rsidR="00000000" w:rsidRDefault="00E5104C">
            <w:pPr>
              <w:ind w:right="43" w:firstLine="176"/>
            </w:pPr>
            <w:r>
              <w:t xml:space="preserve">Марка бетона по морозостойкости </w:t>
            </w:r>
          </w:p>
          <w:p w:rsidR="00000000" w:rsidRDefault="00E5104C">
            <w:pPr>
              <w:ind w:right="43" w:firstLine="176"/>
            </w:pPr>
            <w:r>
              <w:t xml:space="preserve">Марка бетона по водонепроницаемости </w:t>
            </w:r>
          </w:p>
          <w:p w:rsidR="00000000" w:rsidRDefault="00E5104C">
            <w:pPr>
              <w:ind w:right="43" w:firstLine="176"/>
            </w:pPr>
            <w:r>
              <w:t xml:space="preserve">Плотность тяжелого бетона </w:t>
            </w:r>
          </w:p>
          <w:p w:rsidR="00000000" w:rsidRDefault="00E5104C">
            <w:pPr>
              <w:ind w:right="43" w:firstLine="176"/>
            </w:pPr>
            <w:r>
              <w:t xml:space="preserve">Теплопроводность бетона </w:t>
            </w:r>
          </w:p>
          <w:p w:rsidR="00000000" w:rsidRDefault="00E5104C">
            <w:pPr>
              <w:ind w:right="43" w:firstLine="176"/>
            </w:pPr>
            <w:r>
              <w:t>Истираемость бетона</w:t>
            </w:r>
          </w:p>
          <w:p w:rsidR="00000000" w:rsidRDefault="00E5104C">
            <w:pPr>
              <w:ind w:right="43" w:firstLine="176"/>
            </w:pPr>
            <w:r>
              <w:t>Отпускная влажн</w:t>
            </w:r>
            <w:r>
              <w:t xml:space="preserve">ость легкого бетона </w:t>
            </w:r>
          </w:p>
          <w:p w:rsidR="00000000" w:rsidRDefault="00E5104C">
            <w:pPr>
              <w:ind w:right="43" w:firstLine="176"/>
            </w:pPr>
            <w:r>
              <w:t xml:space="preserve">Водопоглощение бетона </w:t>
            </w:r>
          </w:p>
          <w:p w:rsidR="00000000" w:rsidRDefault="00E5104C">
            <w:pPr>
              <w:ind w:right="43" w:firstLine="176"/>
            </w:pPr>
            <w:r>
              <w:t>Показатели пористости бетона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right w:val="single" w:sz="6" w:space="0" w:color="auto"/>
            </w:tcBorders>
          </w:tcPr>
          <w:p w:rsidR="00000000" w:rsidRDefault="00E5104C">
            <w:pPr>
              <w:ind w:right="43"/>
            </w:pPr>
            <w:r>
              <w:t>приемо-сдаточные</w:t>
            </w:r>
          </w:p>
        </w:tc>
        <w:tc>
          <w:tcPr>
            <w:tcW w:w="4261" w:type="dxa"/>
            <w:tcBorders>
              <w:left w:val="nil"/>
            </w:tcBorders>
          </w:tcPr>
          <w:p w:rsidR="00000000" w:rsidRDefault="00E5104C">
            <w:pPr>
              <w:ind w:right="43" w:firstLine="176"/>
            </w:pPr>
            <w:r>
              <w:t xml:space="preserve">Класс бетона по прочности </w:t>
            </w:r>
          </w:p>
          <w:p w:rsidR="00000000" w:rsidRDefault="00E5104C">
            <w:pPr>
              <w:ind w:right="43" w:firstLine="176"/>
            </w:pPr>
            <w:r>
              <w:t xml:space="preserve">Отпускная прочность бетона </w:t>
            </w:r>
          </w:p>
          <w:p w:rsidR="00000000" w:rsidRDefault="00E5104C">
            <w:pPr>
              <w:ind w:right="43" w:firstLine="176"/>
            </w:pPr>
            <w:r>
              <w:t xml:space="preserve">Передаточная прочность бетона </w:t>
            </w:r>
          </w:p>
          <w:p w:rsidR="00000000" w:rsidRDefault="00E5104C">
            <w:pPr>
              <w:ind w:right="43" w:firstLine="176"/>
            </w:pPr>
            <w:r>
              <w:t xml:space="preserve">Отпускная влажность ячеистого бетона </w:t>
            </w:r>
          </w:p>
          <w:p w:rsidR="00000000" w:rsidRDefault="00E5104C">
            <w:pPr>
              <w:ind w:right="43" w:firstLine="176"/>
            </w:pPr>
            <w:r>
              <w:t xml:space="preserve">Средняя плотность легкого и ячеистого бетонов </w:t>
            </w:r>
          </w:p>
          <w:p w:rsidR="00000000" w:rsidRDefault="00E5104C">
            <w:pPr>
              <w:ind w:right="43" w:firstLine="176"/>
            </w:pPr>
            <w:r>
              <w:t>Соответствие арматурных и закладных изделий стандартам и рабочим чертежам, прочность сварных соединений</w:t>
            </w:r>
          </w:p>
          <w:p w:rsidR="00000000" w:rsidRDefault="00E5104C">
            <w:pPr>
              <w:ind w:right="43" w:firstLine="176"/>
            </w:pPr>
            <w:r>
              <w:t>Линейные размеры, в том числе определяющие положения закладных изделий</w:t>
            </w:r>
          </w:p>
          <w:p w:rsidR="00000000" w:rsidRDefault="00E5104C">
            <w:pPr>
              <w:ind w:right="43" w:firstLine="176"/>
            </w:pPr>
            <w:r>
              <w:t>Отклонение от прямолинейности (непрямолинейность)</w:t>
            </w:r>
          </w:p>
          <w:p w:rsidR="00000000" w:rsidRDefault="00E5104C">
            <w:pPr>
              <w:ind w:right="43" w:firstLine="176"/>
            </w:pPr>
            <w:r>
              <w:t>Отклонение от плоскостнос</w:t>
            </w:r>
            <w:r>
              <w:t xml:space="preserve">ти (неплоскостность) </w:t>
            </w:r>
          </w:p>
          <w:p w:rsidR="00000000" w:rsidRDefault="00E5104C">
            <w:pPr>
              <w:ind w:right="43" w:firstLine="176"/>
            </w:pPr>
            <w:r>
              <w:t xml:space="preserve">Разность длин диагоналей </w:t>
            </w:r>
          </w:p>
          <w:p w:rsidR="00000000" w:rsidRDefault="00E5104C">
            <w:pPr>
              <w:ind w:right="43" w:firstLine="176"/>
            </w:pPr>
            <w:r>
              <w:t xml:space="preserve">Отклонение от перпендикулярности </w:t>
            </w:r>
          </w:p>
          <w:p w:rsidR="00000000" w:rsidRDefault="00E5104C">
            <w:pPr>
              <w:ind w:right="43" w:firstLine="176"/>
            </w:pPr>
            <w:r>
              <w:t xml:space="preserve">Толщина защитного слоя бетона </w:t>
            </w:r>
          </w:p>
          <w:p w:rsidR="00000000" w:rsidRDefault="00E5104C">
            <w:pPr>
              <w:ind w:right="43" w:firstLine="176"/>
            </w:pPr>
            <w:r>
              <w:t xml:space="preserve">Ширина раскрытия технологических трещин </w:t>
            </w:r>
          </w:p>
          <w:p w:rsidR="00000000" w:rsidRDefault="00E5104C">
            <w:pPr>
              <w:ind w:right="43" w:firstLine="176"/>
            </w:pPr>
            <w:r>
              <w:t xml:space="preserve">Категория бетонной поверхности </w:t>
            </w:r>
          </w:p>
          <w:p w:rsidR="00000000" w:rsidRDefault="00E5104C">
            <w:pPr>
              <w:ind w:right="43" w:firstLine="176"/>
            </w:pPr>
            <w:r>
              <w:t>Соответствие качества защитно-декоративных покрытий, отделки и цвета лицевых поверхностей изделий эталону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right w:val="single" w:sz="6" w:space="0" w:color="auto"/>
            </w:tcBorders>
          </w:tcPr>
          <w:p w:rsidR="00000000" w:rsidRDefault="00E5104C">
            <w:pPr>
              <w:ind w:right="43"/>
            </w:pPr>
          </w:p>
        </w:tc>
        <w:tc>
          <w:tcPr>
            <w:tcW w:w="4261" w:type="dxa"/>
            <w:tcBorders>
              <w:left w:val="nil"/>
            </w:tcBorders>
          </w:tcPr>
          <w:p w:rsidR="00000000" w:rsidRDefault="00E5104C">
            <w:pPr>
              <w:spacing w:before="120"/>
              <w:ind w:right="45" w:firstLine="176"/>
            </w:pPr>
            <w:r>
              <w:rPr>
                <w:spacing w:val="20"/>
              </w:rPr>
              <w:t>Примечание</w:t>
            </w:r>
            <w:r>
              <w:t>. В стандартах и технических условиях на конструкции конкретных видов допускается предусматривать проведение приемо-сдаточных испытаний по отдельным показателям, по которым в табл. 1 установлены периодические</w:t>
            </w:r>
            <w:r>
              <w:t xml:space="preserve"> испытания</w:t>
            </w:r>
          </w:p>
        </w:tc>
      </w:tr>
    </w:tbl>
    <w:p w:rsidR="00000000" w:rsidRDefault="00E5104C">
      <w:pPr>
        <w:spacing w:before="120"/>
        <w:ind w:right="2069" w:firstLine="284"/>
      </w:pPr>
      <w:r>
        <w:t>В стандартах и технических условиях на конструкции конкретных видов и в технологической документации допускается уточнять номенклатуру этих показателей в зависимости от вида контролируемых конструкций и специфики их производства.</w:t>
      </w:r>
    </w:p>
    <w:p w:rsidR="00000000" w:rsidRDefault="00E5104C">
      <w:pPr>
        <w:ind w:right="2069" w:firstLine="284"/>
      </w:pPr>
      <w:r>
        <w:t>За. Допускается проведение периодических испытаний конструкций по показателям точности геометрических параметров, точность которых зависит от точности неразъемных элементов форм. Периодический контроль точности других геометрических параметров допускается, если осуществ</w:t>
      </w:r>
      <w:r>
        <w:t>ляется операционный контроль соответствующих размеров собранных форм перед формованием и периодический контроль за состоянием каждой формы и их выбраковка.</w:t>
      </w:r>
    </w:p>
    <w:p w:rsidR="00000000" w:rsidRDefault="00E5104C">
      <w:pPr>
        <w:ind w:right="2069" w:firstLine="284"/>
      </w:pPr>
      <w:r>
        <w:t xml:space="preserve">Перечень указанных параметров, сроки проведения испытаний конструкций и форм для выбраковки, а также предельные отклонения размеров собранных форм перед укладкой арматуры устанавливают в технологической документации. Эти предельные отклонения должны приниматься в пределах отклонений для соответствующих размеров </w:t>
      </w:r>
      <w:r>
        <w:lastRenderedPageBreak/>
        <w:t>конструкций по результатам опытной проверки</w:t>
      </w:r>
      <w:r>
        <w:t xml:space="preserve"> с учетом деформативности форм при формовании. </w:t>
      </w:r>
    </w:p>
    <w:p w:rsidR="00000000" w:rsidRDefault="00E5104C">
      <w:pPr>
        <w:ind w:right="2069" w:firstLine="284"/>
        <w:rPr>
          <w:b/>
        </w:rPr>
      </w:pPr>
      <w:r>
        <w:rPr>
          <w:b/>
        </w:rPr>
        <w:t>(Введен дополнительно, Изм. № 2).</w:t>
      </w:r>
    </w:p>
    <w:p w:rsidR="00000000" w:rsidRDefault="00E5104C">
      <w:pPr>
        <w:ind w:right="2069" w:firstLine="284"/>
      </w:pPr>
      <w:r>
        <w:t>4. При входном контроле по данным документов, удостоверяющих качество получаемых сырья, материалов и комплектующих изделий, устанавливают их соответствие требованиям, определяющим возможность их использования в производстве, а также в соответствии с требованиями стандартов и технических условий на это сырье, комплектующие изделия и материалы проводят непосредственную проверку их качества и необходимые испытания. Порядок провед</w:t>
      </w:r>
      <w:r>
        <w:t xml:space="preserve">ения входного контроля устанавливается технологическими документами. </w:t>
      </w:r>
    </w:p>
    <w:p w:rsidR="00000000" w:rsidRDefault="00E5104C">
      <w:pPr>
        <w:ind w:right="2069" w:firstLine="284"/>
        <w:rPr>
          <w:b/>
        </w:rPr>
      </w:pPr>
      <w:r>
        <w:rPr>
          <w:b/>
        </w:rPr>
        <w:t>(Измененная редакция, Изм. № 1, 2).</w:t>
      </w:r>
    </w:p>
    <w:p w:rsidR="00000000" w:rsidRDefault="00E5104C">
      <w:pPr>
        <w:ind w:right="2069" w:firstLine="284"/>
      </w:pPr>
      <w:r>
        <w:t>5. При операционном контроле во время выполнения или после завершения определенной технологической операции по изготовлению конструкций определяют соответствие технологических параметров производственных процессов, а также показателей качества конструкций приведенным в стандартах, технических условиях, проектной и технологической документации. Объем, содержание и порядок проведения операционного контрол</w:t>
      </w:r>
      <w:r>
        <w:t>я устанавливаются соответствующими технологическими документами.</w:t>
      </w:r>
    </w:p>
    <w:p w:rsidR="00000000" w:rsidRDefault="00E5104C">
      <w:pPr>
        <w:ind w:right="2069" w:firstLine="284"/>
      </w:pPr>
      <w:r>
        <w:t>6. При приемочном контроле, проводимом в порядке, установленном настоящим стандартом, осуществляют приемку готовых конструкций по качеству на основании данных входного и операционного контроля, а также периодических и приемосдаточных испытаний продукции, устанавливая соответствие ее качества требованиям стандартов и технических условий.</w:t>
      </w:r>
    </w:p>
    <w:p w:rsidR="00000000" w:rsidRDefault="00E5104C">
      <w:pPr>
        <w:ind w:right="2069" w:firstLine="284"/>
      </w:pPr>
      <w:r>
        <w:t>7. Результаты входного, операционного и приемочного контроля должны быть зафиксированы в соответствующих жур</w:t>
      </w:r>
      <w:r>
        <w:t>налах ОТК, заводской лаборатории или других документах.</w:t>
      </w:r>
    </w:p>
    <w:p w:rsidR="00000000" w:rsidRDefault="00E5104C">
      <w:pPr>
        <w:ind w:right="2069" w:firstLine="284"/>
      </w:pPr>
      <w:r>
        <w:t>8. Приемку конструкций осуществляют партиями. В состав партии включают конструкции одного типа, последовательно изготовленные предприятием по одной технологии в течение не более одних суток из материалов одного вида.</w:t>
      </w:r>
    </w:p>
    <w:p w:rsidR="00000000" w:rsidRDefault="00E5104C">
      <w:pPr>
        <w:ind w:right="2069" w:firstLine="284"/>
      </w:pPr>
      <w:r>
        <w:t>При изготовлении конструкций нерегулярно или в небольшом количестве, при обеспечении однородности качества продукции, в состав партии допускается включать конструкции, изготовленные в течение нескольких суток, но не более одной недели.</w:t>
      </w:r>
    </w:p>
    <w:p w:rsidR="00000000" w:rsidRDefault="00E5104C">
      <w:pPr>
        <w:ind w:right="2069" w:firstLine="284"/>
      </w:pPr>
      <w:r>
        <w:t xml:space="preserve">9. </w:t>
      </w:r>
      <w:r>
        <w:t>Периодические испытания по показателям морозостойкости, водонепроницаемости, плотности, водопоглощению, теплопроводности, истираемости, отпускной влажности и пористости бетона, а также по показателям точности отдельных геометрических параметров в соответствии с п. За проводят перед началом массового изготовления конструкций, при внесении в них конструктивных изменений или изменении технологии изготовления, а также не реже одного раза в 6 мес.</w:t>
      </w:r>
    </w:p>
    <w:p w:rsidR="00000000" w:rsidRDefault="00E5104C">
      <w:pPr>
        <w:ind w:right="2069" w:firstLine="284"/>
      </w:pPr>
      <w:r>
        <w:t>При необходимости для отдельных показателей в стандартах и технич</w:t>
      </w:r>
      <w:r>
        <w:t>еских условиях на конструкции конкретных видов допускается устанавливать другие периоды между испытаниями.</w:t>
      </w:r>
    </w:p>
    <w:p w:rsidR="00000000" w:rsidRDefault="00E5104C">
      <w:pPr>
        <w:ind w:right="2069" w:firstLine="284"/>
      </w:pPr>
      <w:r>
        <w:t>10. Периодические испытания по прочности, жесткости и трещиностойкости предварительно напряженных ответственных изгибаемых конструкций: стропильных и подстропильных ферм и балок, плит покрытий и перекрытий пролетом 12 м и более, ригелей и балок пролетом 9 м и более, подкрановых балок, стоек опор ЛЭП, освещения, автоблокировки проводят нагружением в соответствии с ГОСТ 8829 перед началом массового изгот</w:t>
      </w:r>
      <w:r>
        <w:t>овления, при внесении в них конструктивных изменений или изменении технологии изготовления, а также в процессе серийного производства если это предусмотрено стандартами или техническими условиями на конструкции конкретных видов, в сроки, устанавливаемые этими стандартами или техническими условиями.</w:t>
      </w:r>
    </w:p>
    <w:p w:rsidR="00000000" w:rsidRDefault="00E5104C">
      <w:pPr>
        <w:ind w:right="2069" w:firstLine="284"/>
      </w:pPr>
      <w:r>
        <w:t>Периодические испытания других конструкций нагружением в соответствии с ГОСТ 8829 проводят, если это предусмотрено стандартами, техническими условиями на эти конструкции, перед началом их массового изготовления и</w:t>
      </w:r>
      <w:r>
        <w:t xml:space="preserve"> в дальнейшем при внесении в них конструктивных изменений или изменении технологии изготовления, а также в процессе серийного производства в сроки, установленные в рабочих чертежах. Испытания этих конструкций нагружением могут не проводиться, если осуществляется неразрушающий контроль прочности бетона, расположения и диаметра арматуры, а также толщины защитного слоя бетона конструкций в соответствии с настоящим стандартом.</w:t>
      </w:r>
    </w:p>
    <w:p w:rsidR="00000000" w:rsidRDefault="00E5104C">
      <w:pPr>
        <w:ind w:right="2069" w:firstLine="284"/>
      </w:pPr>
      <w:r>
        <w:t>Периодические испытания конструкций нагружением в случае внесения в них конструктивны</w:t>
      </w:r>
      <w:r>
        <w:t>х изменений и при изменении технологии изготовления в зависимости от существа этих изменений могут не проводиться по согласованию с проектной организацией — разработчиком рабочих чертежей.</w:t>
      </w:r>
    </w:p>
    <w:p w:rsidR="00000000" w:rsidRDefault="00E5104C">
      <w:pPr>
        <w:ind w:right="2069" w:firstLine="284"/>
      </w:pPr>
      <w:r>
        <w:t>Прочность, жесткость и трещиностойкость конструкций, испытания нагружением которых стандартами или техническими условиями не предусмотрены, обеспечивается соблюдением комплекса нормируемых и проектных показателей, характеризующих прочность бетона, толщину защитного слоя и геометрические размеры сечений, расположение армат</w:t>
      </w:r>
      <w:r>
        <w:t>уры и прочность сварных соединений, диаметр и механические свойства стали, основные размеры арматурных изделий и величину натяжения арматуры, проверяемых в соответствии с требованиями настоящего стандарта в процессе входного, операционного и приемочного контроля.</w:t>
      </w:r>
    </w:p>
    <w:p w:rsidR="00000000" w:rsidRDefault="00E5104C">
      <w:pPr>
        <w:ind w:right="2069" w:firstLine="284"/>
      </w:pPr>
      <w:r>
        <w:t xml:space="preserve">Партию конструкций, испытания нагружением которых не проводят, принимают по прочности, жесткости и трещиностойкости, если удовлетворяются требования стандарта или технических условий на эти конструкции по указанным выше показателям. </w:t>
      </w:r>
    </w:p>
    <w:p w:rsidR="00000000" w:rsidRDefault="00E5104C">
      <w:pPr>
        <w:ind w:right="2069" w:firstLine="284"/>
      </w:pPr>
      <w:r>
        <w:t xml:space="preserve">9, 10. </w:t>
      </w:r>
      <w:r>
        <w:rPr>
          <w:b/>
        </w:rPr>
        <w:t>(Измене</w:t>
      </w:r>
      <w:r>
        <w:rPr>
          <w:b/>
        </w:rPr>
        <w:t>нная редакция, Изм. № 1).</w:t>
      </w:r>
    </w:p>
    <w:p w:rsidR="00000000" w:rsidRDefault="00E5104C">
      <w:pPr>
        <w:ind w:right="2069" w:firstLine="284"/>
      </w:pPr>
      <w:r>
        <w:rPr>
          <w:lang w:val="en-US"/>
        </w:rPr>
        <w:t>11</w:t>
      </w:r>
      <w:r>
        <w:t>. Приемочный контроль по показателям физико-механических свойств бетона при периодических испытаниях проводят по среднему значению результатов испытаний серии образцов, изготовленных из одной пробы бетона в одной из партий или выбуренных (выпиленных) из разных конструкций одной из принятых партий.</w:t>
      </w:r>
    </w:p>
    <w:p w:rsidR="00000000" w:rsidRDefault="00E5104C">
      <w:pPr>
        <w:ind w:right="2069" w:firstLine="284"/>
      </w:pPr>
      <w:r>
        <w:t>Число образцов в серии принимают по стандартам на методы соответствующих испытаний.</w:t>
      </w:r>
    </w:p>
    <w:p w:rsidR="00000000" w:rsidRDefault="00E5104C">
      <w:pPr>
        <w:ind w:right="2069" w:firstLine="284"/>
      </w:pPr>
      <w:r>
        <w:t>12. При неудовлетворительных результатах периодических испытаний изготовление конструкций следует пре</w:t>
      </w:r>
      <w:r>
        <w:t>кратить и принять меры, обеспечивающие соблюдение установленных требований.</w:t>
      </w:r>
    </w:p>
    <w:p w:rsidR="00000000" w:rsidRDefault="00E5104C">
      <w:pPr>
        <w:ind w:right="2069" w:firstLine="284"/>
      </w:pPr>
      <w:r>
        <w:t>13. Приемо-сдаточные испытания по показателям, приведенным в табл. 1, проводят для каждой партии конструкций.</w:t>
      </w:r>
    </w:p>
    <w:p w:rsidR="00000000" w:rsidRDefault="00E5104C">
      <w:pPr>
        <w:ind w:right="2069" w:firstLine="284"/>
      </w:pPr>
      <w:r>
        <w:t>14. Приемочный контроль прочности бетона, в том числе неразрушающими методами, осуществляют в соответствии с ГОСТ 18105.</w:t>
      </w:r>
    </w:p>
    <w:p w:rsidR="00000000" w:rsidRDefault="00E5104C">
      <w:pPr>
        <w:ind w:right="2069" w:firstLine="284"/>
      </w:pPr>
      <w:r>
        <w:t xml:space="preserve">15. Приемочный контроль конструкций неразрушающими методами по расположению арматуры и толщине защитного слоя бетона осуществляют в соответствии с требованиями пп. 19 </w:t>
      </w:r>
      <w:r>
        <w:noBreakHyphen/>
        <w:t xml:space="preserve"> 22.</w:t>
      </w:r>
    </w:p>
    <w:p w:rsidR="00000000" w:rsidRDefault="00E5104C">
      <w:pPr>
        <w:ind w:right="2069" w:firstLine="284"/>
      </w:pPr>
      <w:r>
        <w:t>Число и место расположения контр</w:t>
      </w:r>
      <w:r>
        <w:t>олируемых участков конструкции указывают в рабочих чертежах, а число измерений на каждом контролируемом участке принимают по стандартам на методы соответствующих испытаний. При этом в конструкциях с напрягаемой арматурой, а также с арматурой в виде плоских и пространственных каркасов, если смещение ее в процессе бетонирования исключено, допускается контролировать расположение и диаметр арматуры и толщину защитного слоя бетона перед бетонированием конструкций без проведения неразрушающего контроля их по этим</w:t>
      </w:r>
      <w:r>
        <w:t xml:space="preserve"> показателям.</w:t>
      </w:r>
    </w:p>
    <w:p w:rsidR="00000000" w:rsidRDefault="00E5104C">
      <w:pPr>
        <w:ind w:right="2069" w:firstLine="284"/>
      </w:pPr>
      <w:r>
        <w:t>16. Приемочный контроль средней плотности легкого и ячеистого бетонов осуществляют в соответствии с ГОСТ 27005.</w:t>
      </w:r>
    </w:p>
    <w:p w:rsidR="00000000" w:rsidRDefault="00E5104C">
      <w:pPr>
        <w:ind w:right="2069" w:firstLine="284"/>
      </w:pPr>
      <w:r>
        <w:t>Отпускную влажность и другие физико-механические характеристики бетонов, контролируемые в соответствии с примечанием в табл. 1, в процессе приемо-сдаточных испытаний, при отсутствии требований по статистическому контролю, оценивают по среднему значению результатов испытаний серии образцов, изготовленных из одной пробы бетона или выбуренных (выпиленных) из одной конструкции от партии,</w:t>
      </w:r>
      <w:r>
        <w:t xml:space="preserve"> но не реже одного раза в смену. Определение указанных показателей методами разрушающего контроля проводят не менее чем на двух конструкциях в партии. Число и расположение на конструкции контролируемых участков указывают в рабочих чертежах конструкций.</w:t>
      </w:r>
    </w:p>
    <w:p w:rsidR="00000000" w:rsidRDefault="00E5104C">
      <w:pPr>
        <w:ind w:right="2069" w:firstLine="284"/>
      </w:pPr>
      <w:r>
        <w:t>Число образцов в серии или число измерений на контролируемом участке принимают по стандартам на методы соответствующих испытаний.</w:t>
      </w:r>
    </w:p>
    <w:p w:rsidR="00000000" w:rsidRDefault="00E5104C">
      <w:pPr>
        <w:ind w:right="2069" w:firstLine="284"/>
      </w:pPr>
      <w:r>
        <w:t>17. Приемку арматурных и закладных изделий проводят до установки их в форму в соответствии с ГОСТ 10922 и ГОСТ 23858.</w:t>
      </w:r>
    </w:p>
    <w:p w:rsidR="00000000" w:rsidRDefault="00E5104C">
      <w:pPr>
        <w:ind w:right="2069" w:firstLine="284"/>
      </w:pPr>
      <w:r>
        <w:t>18. Приемку</w:t>
      </w:r>
      <w:r>
        <w:t xml:space="preserve"> конструкций по показателям точности геометрических параметров, ширина раскрытия технологических трещин, категории бетонной поверхности, внешнего вида конструкций и их соответствие эталону осуществляют по результатам сплошного или выборочного контроля в соответствии с пп. 19 - 21. </w:t>
      </w:r>
    </w:p>
    <w:p w:rsidR="00000000" w:rsidRDefault="00E5104C">
      <w:pPr>
        <w:ind w:right="2069" w:firstLine="284"/>
      </w:pPr>
      <w:r>
        <w:t xml:space="preserve">11 - 18. </w:t>
      </w:r>
      <w:r>
        <w:rPr>
          <w:b/>
        </w:rPr>
        <w:t>(Измененная редакция, Изм. № 1).</w:t>
      </w:r>
      <w:r>
        <w:t xml:space="preserve"> </w:t>
      </w:r>
    </w:p>
    <w:p w:rsidR="00000000" w:rsidRDefault="00E5104C">
      <w:pPr>
        <w:ind w:right="2069" w:firstLine="284"/>
      </w:pPr>
      <w:r>
        <w:t>19. Сплошной контроль осуществляют:</w:t>
      </w:r>
    </w:p>
    <w:p w:rsidR="00000000" w:rsidRDefault="00E5104C">
      <w:pPr>
        <w:ind w:right="2069" w:firstLine="284"/>
      </w:pPr>
      <w:r>
        <w:t xml:space="preserve">для всех видов железобетонных конструкций — по наличию закладных и комплектующих изделий, монтажных петель и строповочных отверстий, по очистке их от </w:t>
      </w:r>
      <w:r>
        <w:t>наплывов бетона или раствора, наличию жировых и ржавых пятен на лицевых поверхностях конструкций, правильности нанесения маркировочных надписей и знаков, соответствию вида защитно-декоративных покрытий и отделки установленным требованиям и эталону отделки;</w:t>
      </w:r>
    </w:p>
    <w:p w:rsidR="00000000" w:rsidRDefault="00E5104C">
      <w:pPr>
        <w:ind w:right="2069" w:firstLine="284"/>
      </w:pPr>
      <w:r>
        <w:t xml:space="preserve">для крупноразмерных конструкций — по всем показателям, а для других конструкций — по наиболее ответственным показателям, если это установлено в стандартах или технических условиях на эти конструкции. </w:t>
      </w:r>
    </w:p>
    <w:p w:rsidR="00000000" w:rsidRDefault="00E5104C">
      <w:pPr>
        <w:ind w:right="2069" w:firstLine="284"/>
        <w:rPr>
          <w:b/>
        </w:rPr>
      </w:pPr>
      <w:r>
        <w:rPr>
          <w:b/>
        </w:rPr>
        <w:t>(Измененная редакция, Изм. № 1,2).</w:t>
      </w:r>
    </w:p>
    <w:p w:rsidR="00000000" w:rsidRDefault="00E5104C">
      <w:pPr>
        <w:ind w:right="2069" w:firstLine="284"/>
      </w:pPr>
      <w:r>
        <w:t>20. Для выборочного</w:t>
      </w:r>
      <w:r>
        <w:t xml:space="preserve"> контроля из потока конструкций в процессе их выпуска или после окончания изготовления всей партии в соответствии с принятым планом контроля отбирают выборку по ГОСТ 18321 и определяют число дефектных конструкций в ней по каждому показателю.</w:t>
      </w:r>
    </w:p>
    <w:p w:rsidR="00000000" w:rsidRDefault="00E5104C">
      <w:pPr>
        <w:ind w:right="2069" w:firstLine="284"/>
      </w:pPr>
      <w:r>
        <w:t>Конструкцию считают дефектной по данному показателю, если она не удовлетворяет требованиям стандарта или технических условий по этому показателю.</w:t>
      </w:r>
    </w:p>
    <w:p w:rsidR="00000000" w:rsidRDefault="00E5104C">
      <w:pPr>
        <w:ind w:right="2069" w:firstLine="284"/>
      </w:pPr>
      <w:r>
        <w:t>Приемку партии конструкций осуществляют при одно- или двухступенчатом контроле по планам контроля, приведенным в табл. 2 и 3</w:t>
      </w:r>
      <w:r>
        <w:t>, или другим планам по ГОСТ 23616.</w:t>
      </w:r>
    </w:p>
    <w:p w:rsidR="00000000" w:rsidRDefault="00E5104C">
      <w:pPr>
        <w:spacing w:before="120" w:after="120"/>
        <w:ind w:right="2069"/>
        <w:jc w:val="center"/>
        <w:rPr>
          <w:lang w:val="en-US"/>
        </w:rPr>
      </w:pPr>
      <w:r>
        <w:t xml:space="preserve">ПЛАНЫ ВЫБОРОЧНОГО КОНТРОЛЯ </w:t>
      </w:r>
    </w:p>
    <w:p w:rsidR="00000000" w:rsidRDefault="00E5104C">
      <w:pPr>
        <w:ind w:right="2069"/>
        <w:jc w:val="center"/>
      </w:pPr>
      <w:r>
        <w:t>Одноступенчатый контроль</w:t>
      </w:r>
    </w:p>
    <w:p w:rsidR="00000000" w:rsidRDefault="00E5104C">
      <w:pPr>
        <w:spacing w:before="120" w:after="120"/>
        <w:ind w:right="2069" w:firstLine="284"/>
        <w:jc w:val="right"/>
      </w:pPr>
      <w: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0"/>
        <w:gridCol w:w="1880"/>
        <w:gridCol w:w="18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104C">
            <w:pPr>
              <w:ind w:right="30"/>
              <w:jc w:val="center"/>
            </w:pPr>
            <w:r>
              <w:t>Объем, шт.,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5104C">
            <w:pPr>
              <w:ind w:right="30"/>
              <w:jc w:val="center"/>
            </w:pPr>
            <w:r>
              <w:t>Браковочное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104C">
            <w:pPr>
              <w:ind w:right="30"/>
              <w:jc w:val="center"/>
            </w:pPr>
            <w:r>
              <w:t>партии конструкций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104C">
            <w:pPr>
              <w:ind w:right="30"/>
              <w:jc w:val="center"/>
            </w:pPr>
            <w:r>
              <w:t>выборки</w:t>
            </w: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5104C">
            <w:pPr>
              <w:ind w:right="43" w:firstLine="28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5104C">
            <w:pPr>
              <w:ind w:right="43"/>
              <w:jc w:val="center"/>
            </w:pPr>
            <w:r>
              <w:t xml:space="preserve">            До 25 </w:t>
            </w:r>
          </w:p>
          <w:p w:rsidR="00000000" w:rsidRDefault="00E5104C">
            <w:pPr>
              <w:ind w:right="43"/>
              <w:jc w:val="center"/>
            </w:pPr>
            <w:r>
              <w:t xml:space="preserve"> От  26  „  90 </w:t>
            </w:r>
          </w:p>
          <w:p w:rsidR="00000000" w:rsidRDefault="00E5104C">
            <w:pPr>
              <w:ind w:right="43"/>
              <w:jc w:val="center"/>
            </w:pPr>
            <w:r>
              <w:t xml:space="preserve">  „    91  „  280 </w:t>
            </w:r>
          </w:p>
          <w:p w:rsidR="00000000" w:rsidRDefault="00E5104C">
            <w:pPr>
              <w:ind w:right="43"/>
              <w:jc w:val="center"/>
            </w:pPr>
            <w:r>
              <w:t xml:space="preserve">  „  281  „  500 </w:t>
            </w:r>
          </w:p>
          <w:p w:rsidR="00000000" w:rsidRDefault="00E5104C">
            <w:pPr>
              <w:ind w:right="43"/>
              <w:jc w:val="center"/>
            </w:pPr>
            <w:r>
              <w:t xml:space="preserve">  „  501  „  1200 </w:t>
            </w:r>
          </w:p>
          <w:p w:rsidR="00000000" w:rsidRDefault="00E5104C">
            <w:pPr>
              <w:ind w:right="43"/>
              <w:jc w:val="center"/>
            </w:pPr>
            <w:r>
              <w:t xml:space="preserve">  „ 1201 „  3200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104C">
            <w:pPr>
              <w:ind w:right="43"/>
              <w:jc w:val="center"/>
            </w:pPr>
            <w:r>
              <w:t xml:space="preserve">5 </w:t>
            </w:r>
          </w:p>
          <w:p w:rsidR="00000000" w:rsidRDefault="00E5104C">
            <w:pPr>
              <w:ind w:right="43"/>
              <w:jc w:val="center"/>
            </w:pPr>
            <w:r>
              <w:t xml:space="preserve">8 </w:t>
            </w:r>
          </w:p>
          <w:p w:rsidR="00000000" w:rsidRDefault="00E5104C">
            <w:pPr>
              <w:ind w:right="43"/>
              <w:jc w:val="center"/>
            </w:pPr>
            <w:r>
              <w:t xml:space="preserve">13 </w:t>
            </w:r>
          </w:p>
          <w:p w:rsidR="00000000" w:rsidRDefault="00E5104C">
            <w:pPr>
              <w:ind w:right="43"/>
              <w:jc w:val="center"/>
            </w:pPr>
            <w:r>
              <w:t xml:space="preserve">20 </w:t>
            </w:r>
          </w:p>
          <w:p w:rsidR="00000000" w:rsidRDefault="00E5104C">
            <w:pPr>
              <w:ind w:right="43"/>
              <w:jc w:val="center"/>
            </w:pPr>
            <w:r>
              <w:t xml:space="preserve">32 </w:t>
            </w:r>
          </w:p>
          <w:p w:rsidR="00000000" w:rsidRDefault="00E5104C">
            <w:pPr>
              <w:ind w:right="43"/>
              <w:jc w:val="center"/>
            </w:pPr>
            <w:r>
              <w:t>50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5104C">
            <w:pPr>
              <w:ind w:right="43"/>
              <w:jc w:val="center"/>
            </w:pPr>
            <w:r>
              <w:t xml:space="preserve">1 </w:t>
            </w:r>
          </w:p>
          <w:p w:rsidR="00000000" w:rsidRDefault="00E5104C">
            <w:pPr>
              <w:ind w:right="43"/>
              <w:jc w:val="center"/>
            </w:pPr>
            <w:r>
              <w:t xml:space="preserve">2 </w:t>
            </w:r>
          </w:p>
          <w:p w:rsidR="00000000" w:rsidRDefault="00E5104C">
            <w:pPr>
              <w:ind w:right="43"/>
              <w:jc w:val="center"/>
            </w:pPr>
            <w:r>
              <w:t xml:space="preserve">2 </w:t>
            </w:r>
          </w:p>
          <w:p w:rsidR="00000000" w:rsidRDefault="00E5104C">
            <w:pPr>
              <w:ind w:right="43"/>
              <w:jc w:val="center"/>
            </w:pPr>
            <w:r>
              <w:t xml:space="preserve">3 </w:t>
            </w:r>
          </w:p>
          <w:p w:rsidR="00000000" w:rsidRDefault="00E5104C">
            <w:pPr>
              <w:ind w:right="43"/>
              <w:jc w:val="center"/>
            </w:pPr>
            <w:r>
              <w:t xml:space="preserve">4 </w:t>
            </w:r>
          </w:p>
          <w:p w:rsidR="00000000" w:rsidRDefault="00E5104C">
            <w:pPr>
              <w:ind w:right="43"/>
              <w:jc w:val="center"/>
            </w:pPr>
            <w:r>
              <w:t>6</w:t>
            </w:r>
          </w:p>
        </w:tc>
      </w:tr>
    </w:tbl>
    <w:p w:rsidR="00000000" w:rsidRDefault="00E5104C">
      <w:pPr>
        <w:spacing w:before="120" w:after="120"/>
        <w:ind w:right="2069"/>
        <w:jc w:val="center"/>
      </w:pPr>
      <w:r>
        <w:t>Двухступенчатый контроль</w:t>
      </w:r>
    </w:p>
    <w:p w:rsidR="00000000" w:rsidRDefault="00E5104C">
      <w:pPr>
        <w:spacing w:after="120"/>
        <w:ind w:right="2069" w:firstLine="284"/>
        <w:jc w:val="right"/>
      </w:pPr>
      <w:r>
        <w:t>Таблица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0"/>
        <w:gridCol w:w="1100"/>
        <w:gridCol w:w="1180"/>
        <w:gridCol w:w="1180"/>
        <w:gridCol w:w="8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104C">
            <w:pPr>
              <w:ind w:right="17"/>
              <w:jc w:val="center"/>
            </w:pPr>
            <w:r>
              <w:t>Объем, шт.,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5104C">
            <w:pPr>
              <w:ind w:right="17"/>
              <w:jc w:val="center"/>
            </w:pPr>
            <w:r>
              <w:t>Браковочное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104C">
            <w:pPr>
              <w:ind w:right="17"/>
              <w:jc w:val="center"/>
            </w:pPr>
            <w:r>
              <w:t>партии конструкций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104C">
            <w:pPr>
              <w:ind w:right="17"/>
              <w:jc w:val="center"/>
            </w:pPr>
            <w:r>
              <w:t>первой выборки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104C">
            <w:pPr>
              <w:ind w:right="17"/>
              <w:jc w:val="center"/>
            </w:pPr>
            <w:r>
              <w:t>второй выборки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104C">
            <w:pPr>
              <w:ind w:right="17"/>
              <w:jc w:val="center"/>
            </w:pPr>
            <w:r>
              <w:t>для первой выборки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5104C">
            <w:pPr>
              <w:ind w:right="17"/>
              <w:jc w:val="center"/>
            </w:pPr>
            <w:r>
              <w:t>для двух выборок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5104C">
            <w:pPr>
              <w:ind w:right="43"/>
              <w:jc w:val="center"/>
            </w:pPr>
            <w:r>
              <w:t xml:space="preserve">            До 25 </w:t>
            </w:r>
          </w:p>
          <w:p w:rsidR="00000000" w:rsidRDefault="00E5104C">
            <w:pPr>
              <w:ind w:right="43"/>
              <w:jc w:val="center"/>
            </w:pPr>
            <w:r>
              <w:t xml:space="preserve"> От  26  „  90 </w:t>
            </w:r>
          </w:p>
          <w:p w:rsidR="00000000" w:rsidRDefault="00E5104C">
            <w:pPr>
              <w:ind w:right="43"/>
              <w:jc w:val="center"/>
            </w:pPr>
            <w:r>
              <w:t xml:space="preserve">  „    91  „  280 </w:t>
            </w:r>
          </w:p>
          <w:p w:rsidR="00000000" w:rsidRDefault="00E5104C">
            <w:pPr>
              <w:ind w:right="43"/>
              <w:jc w:val="center"/>
            </w:pPr>
            <w:r>
              <w:t xml:space="preserve"> </w:t>
            </w:r>
            <w:r>
              <w:t xml:space="preserve"> „  281  „  500 </w:t>
            </w:r>
          </w:p>
          <w:p w:rsidR="00000000" w:rsidRDefault="00E5104C">
            <w:pPr>
              <w:ind w:right="43"/>
              <w:jc w:val="center"/>
            </w:pPr>
            <w:r>
              <w:t xml:space="preserve">  „  501  „  1200 </w:t>
            </w:r>
          </w:p>
          <w:p w:rsidR="00000000" w:rsidRDefault="00E5104C">
            <w:pPr>
              <w:ind w:right="43"/>
              <w:jc w:val="center"/>
            </w:pPr>
            <w:r>
              <w:t xml:space="preserve">  „ 1201 „  3200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104C">
            <w:pPr>
              <w:ind w:right="17"/>
              <w:jc w:val="center"/>
            </w:pPr>
            <w:r>
              <w:t xml:space="preserve">5 </w:t>
            </w:r>
          </w:p>
          <w:p w:rsidR="00000000" w:rsidRDefault="00E5104C">
            <w:pPr>
              <w:ind w:right="17"/>
              <w:jc w:val="center"/>
            </w:pPr>
            <w:r>
              <w:t xml:space="preserve">5 </w:t>
            </w:r>
          </w:p>
          <w:p w:rsidR="00000000" w:rsidRDefault="00E5104C">
            <w:pPr>
              <w:ind w:right="17"/>
              <w:jc w:val="center"/>
            </w:pPr>
            <w:r>
              <w:t xml:space="preserve">8 </w:t>
            </w:r>
          </w:p>
          <w:p w:rsidR="00000000" w:rsidRDefault="00E5104C">
            <w:pPr>
              <w:ind w:right="17"/>
              <w:jc w:val="center"/>
            </w:pPr>
            <w:r>
              <w:t xml:space="preserve">13 </w:t>
            </w:r>
          </w:p>
          <w:p w:rsidR="00000000" w:rsidRDefault="00E5104C">
            <w:pPr>
              <w:ind w:right="17"/>
              <w:jc w:val="center"/>
            </w:pPr>
            <w:r>
              <w:t xml:space="preserve">20 </w:t>
            </w:r>
          </w:p>
          <w:p w:rsidR="00000000" w:rsidRDefault="00E5104C">
            <w:pPr>
              <w:ind w:right="17"/>
              <w:jc w:val="center"/>
            </w:pPr>
            <w:r>
              <w:t>32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104C">
            <w:pPr>
              <w:ind w:right="17"/>
              <w:jc w:val="center"/>
            </w:pPr>
            <w:r>
              <w:t xml:space="preserve">5 </w:t>
            </w:r>
          </w:p>
          <w:p w:rsidR="00000000" w:rsidRDefault="00E5104C">
            <w:pPr>
              <w:ind w:right="17"/>
              <w:jc w:val="center"/>
            </w:pPr>
            <w:r>
              <w:t xml:space="preserve">5 </w:t>
            </w:r>
          </w:p>
          <w:p w:rsidR="00000000" w:rsidRDefault="00E5104C">
            <w:pPr>
              <w:ind w:right="17"/>
              <w:jc w:val="center"/>
            </w:pPr>
            <w:r>
              <w:t xml:space="preserve">8 </w:t>
            </w:r>
          </w:p>
          <w:p w:rsidR="00000000" w:rsidRDefault="00E5104C">
            <w:pPr>
              <w:ind w:right="17"/>
              <w:jc w:val="center"/>
            </w:pPr>
            <w:r>
              <w:t xml:space="preserve">13 </w:t>
            </w:r>
          </w:p>
          <w:p w:rsidR="00000000" w:rsidRDefault="00E5104C">
            <w:pPr>
              <w:ind w:right="17"/>
              <w:jc w:val="center"/>
            </w:pPr>
            <w:r>
              <w:t xml:space="preserve">20 </w:t>
            </w:r>
          </w:p>
          <w:p w:rsidR="00000000" w:rsidRDefault="00E5104C">
            <w:pPr>
              <w:ind w:right="17"/>
              <w:jc w:val="center"/>
            </w:pPr>
            <w:r>
              <w:t>32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104C">
            <w:pPr>
              <w:ind w:right="17"/>
              <w:jc w:val="center"/>
            </w:pPr>
            <w:r>
              <w:t xml:space="preserve">1 </w:t>
            </w:r>
          </w:p>
          <w:p w:rsidR="00000000" w:rsidRDefault="00E5104C">
            <w:pPr>
              <w:ind w:right="17"/>
              <w:jc w:val="center"/>
            </w:pPr>
            <w:r>
              <w:t xml:space="preserve">2 </w:t>
            </w:r>
          </w:p>
          <w:p w:rsidR="00000000" w:rsidRDefault="00E5104C">
            <w:pPr>
              <w:ind w:right="17"/>
              <w:jc w:val="center"/>
            </w:pPr>
            <w:r>
              <w:t xml:space="preserve">2 </w:t>
            </w:r>
          </w:p>
          <w:p w:rsidR="00000000" w:rsidRDefault="00E5104C">
            <w:pPr>
              <w:ind w:right="17"/>
              <w:jc w:val="center"/>
            </w:pPr>
            <w:r>
              <w:t xml:space="preserve">3 </w:t>
            </w:r>
          </w:p>
          <w:p w:rsidR="00000000" w:rsidRDefault="00E5104C">
            <w:pPr>
              <w:ind w:right="17"/>
              <w:jc w:val="center"/>
            </w:pPr>
            <w:r>
              <w:t xml:space="preserve">4 </w:t>
            </w:r>
          </w:p>
          <w:p w:rsidR="00000000" w:rsidRDefault="00E5104C">
            <w:pPr>
              <w:ind w:right="17"/>
              <w:jc w:val="center"/>
            </w:pPr>
            <w: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5104C">
            <w:pPr>
              <w:ind w:right="17"/>
              <w:jc w:val="center"/>
            </w:pPr>
            <w:r>
              <w:t>-</w:t>
            </w:r>
          </w:p>
          <w:p w:rsidR="00000000" w:rsidRDefault="00E5104C">
            <w:pPr>
              <w:ind w:right="17"/>
              <w:jc w:val="center"/>
            </w:pPr>
            <w:r>
              <w:t xml:space="preserve">2 </w:t>
            </w:r>
          </w:p>
          <w:p w:rsidR="00000000" w:rsidRDefault="00E5104C">
            <w:pPr>
              <w:ind w:right="17"/>
              <w:jc w:val="center"/>
            </w:pPr>
            <w:r>
              <w:t xml:space="preserve">2 </w:t>
            </w:r>
          </w:p>
          <w:p w:rsidR="00000000" w:rsidRDefault="00E5104C">
            <w:pPr>
              <w:ind w:right="17"/>
              <w:jc w:val="center"/>
            </w:pPr>
            <w:r>
              <w:t xml:space="preserve">4 </w:t>
            </w:r>
          </w:p>
          <w:p w:rsidR="00000000" w:rsidRDefault="00E5104C">
            <w:pPr>
              <w:ind w:right="17"/>
              <w:jc w:val="center"/>
            </w:pPr>
            <w:r>
              <w:t xml:space="preserve">5 </w:t>
            </w:r>
          </w:p>
          <w:p w:rsidR="00000000" w:rsidRDefault="00E5104C">
            <w:pPr>
              <w:ind w:right="17"/>
              <w:jc w:val="center"/>
            </w:pPr>
            <w:r>
              <w:t>7</w:t>
            </w:r>
          </w:p>
        </w:tc>
      </w:tr>
    </w:tbl>
    <w:p w:rsidR="00000000" w:rsidRDefault="00E5104C">
      <w:pPr>
        <w:spacing w:before="120"/>
        <w:ind w:right="2069" w:firstLine="284"/>
      </w:pPr>
      <w:r>
        <w:t>21. При одноступенчатом контроле партию конструкций принимают, если в выборке нет дефектных конструкций или их количество менее браковочного числа, указанного в табл. 2.</w:t>
      </w:r>
    </w:p>
    <w:p w:rsidR="00000000" w:rsidRDefault="00E5104C">
      <w:pPr>
        <w:ind w:right="2069" w:firstLine="284"/>
      </w:pPr>
      <w:r>
        <w:t>При двухступенчатом контроле партию конструкций принимают, если в первой выборке нет дефектных конструкций, и не принимают, если число дефектных конструкций более или равно браковочному числу, указанному в табл. 3 д</w:t>
      </w:r>
      <w:r>
        <w:t>ля первой выборки.</w:t>
      </w:r>
    </w:p>
    <w:p w:rsidR="00000000" w:rsidRDefault="00E5104C">
      <w:pPr>
        <w:ind w:right="2069" w:firstLine="284"/>
      </w:pPr>
      <w:r>
        <w:t>В случае, когда число дефектных конструкций в первой выборке меньше указанного для нее браковочного числа, то для этой партии конструкций назначают вторую выборку, число конструкций в которой должно быть таким же, как и в первой. Если общее число дефектных конструкций в двух выборках меньше браковочного числа для двух выборок, партию конструкций принимают.</w:t>
      </w:r>
    </w:p>
    <w:p w:rsidR="00000000" w:rsidRDefault="00E5104C">
      <w:pPr>
        <w:ind w:right="2069" w:firstLine="284"/>
      </w:pPr>
      <w:r>
        <w:t>22. Для партии конструкций, не принятой в результате выборочного контроля, допускается применять сплошной контроль, при этом конструкц</w:t>
      </w:r>
      <w:r>
        <w:t>ии контролируют только по тем показателям, по которым партия не была принята.</w:t>
      </w:r>
    </w:p>
    <w:p w:rsidR="00000000" w:rsidRDefault="00E5104C">
      <w:pPr>
        <w:ind w:right="2069" w:firstLine="284"/>
      </w:pPr>
      <w:r>
        <w:t>Возможность использования по прямому назначению или для других условий отдельных конструкций, не выдержавших испытаний по расположению арматуры и толщине защитного слоя бетона, наличию и расположению закладных изделий, монтажных петель и строповочных отверстий или других неисправимых дефектов, устанавливается проектной организацией.</w:t>
      </w:r>
    </w:p>
    <w:p w:rsidR="00000000" w:rsidRDefault="00E5104C">
      <w:pPr>
        <w:ind w:right="2069" w:firstLine="284"/>
        <w:rPr>
          <w:b/>
        </w:rPr>
      </w:pPr>
      <w:r>
        <w:rPr>
          <w:b/>
        </w:rPr>
        <w:t>(Измененная редакция, Изм. № 1,2).</w:t>
      </w:r>
    </w:p>
    <w:p w:rsidR="00000000" w:rsidRDefault="00E5104C">
      <w:pPr>
        <w:ind w:right="2069" w:firstLine="284"/>
      </w:pPr>
      <w:r>
        <w:t>23. Потребитель имеет право производить контроль качества констр</w:t>
      </w:r>
      <w:r>
        <w:t>укции на строительной площадке или в другом согласованном месте по показателям, которые могут быть проверены на готовых конструкциях, применяя при этом правила приемки, установленные настоящим стандартом и стандартом или техническими условиями на конструкции конкретного вида.</w:t>
      </w:r>
    </w:p>
    <w:p w:rsidR="00000000" w:rsidRDefault="00E5104C">
      <w:pPr>
        <w:ind w:right="2069" w:firstLine="284"/>
      </w:pPr>
      <w:r>
        <w:t>Показатели качества, которые не могут быть проверены на готовых конструкциях, потребитель имеет право проверить по данным журналов ОТК, заводской лаборатории или другой документации завода-изготовителя.</w:t>
      </w:r>
    </w:p>
    <w:p w:rsidR="00000000" w:rsidRDefault="00E5104C">
      <w:pPr>
        <w:ind w:right="2069" w:firstLine="284"/>
      </w:pPr>
      <w:r>
        <w:t>По требованию потребителя завод-</w:t>
      </w:r>
      <w:r>
        <w:t>изготовитель обязан сообщить ему эти данные в течение 15 суток после получения соответствующего запроса от потребителя.</w:t>
      </w:r>
    </w:p>
    <w:p w:rsidR="00000000" w:rsidRDefault="00E5104C">
      <w:pPr>
        <w:ind w:right="2069" w:firstLine="284"/>
      </w:pPr>
      <w:r>
        <w:t xml:space="preserve">24. По результатам приемки составляют документ о качестве поставляемой продукции в соответствии с ГОСТ 13015.3. </w:t>
      </w:r>
    </w:p>
    <w:p w:rsidR="00000000" w:rsidRDefault="00E5104C">
      <w:pPr>
        <w:ind w:right="2069" w:firstLine="284"/>
        <w:rPr>
          <w:b/>
        </w:rPr>
      </w:pPr>
      <w:r>
        <w:rPr>
          <w:b/>
        </w:rPr>
        <w:t>(Введен дополнительно, Изм. № 2).</w:t>
      </w:r>
    </w:p>
    <w:p w:rsidR="00000000" w:rsidRDefault="00E5104C">
      <w:pPr>
        <w:spacing w:before="120" w:after="120"/>
        <w:ind w:right="2069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E5104C">
      <w:pPr>
        <w:ind w:right="2069" w:firstLine="284"/>
      </w:pPr>
      <w:r>
        <w:rPr>
          <w:b/>
        </w:rPr>
        <w:t>1. РАЗРАБОТАН И ВНЕСЕН</w:t>
      </w:r>
      <w:r>
        <w:t xml:space="preserve"> Центральным научно-исследо</w:t>
      </w:r>
      <w:r>
        <w:softHyphen/>
        <w:t>вательс</w:t>
      </w:r>
      <w:r>
        <w:softHyphen/>
        <w:t>ким и проектно-экспериментальным институтом по методологии организации, экономики и автоматизации проектирования и инженерных изысканий (ЦНИИпроект) Госстроя СССР</w:t>
      </w:r>
    </w:p>
    <w:p w:rsidR="00000000" w:rsidRDefault="00E5104C">
      <w:pPr>
        <w:spacing w:before="120" w:after="120"/>
        <w:ind w:right="2069" w:firstLine="284"/>
      </w:pPr>
      <w:r>
        <w:rPr>
          <w:b/>
        </w:rPr>
        <w:t>РА</w:t>
      </w:r>
      <w:r>
        <w:rPr>
          <w:b/>
        </w:rPr>
        <w:t>ЗРАБОТЧИКИ</w:t>
      </w:r>
    </w:p>
    <w:p w:rsidR="00000000" w:rsidRDefault="00E5104C">
      <w:pPr>
        <w:ind w:right="2069" w:firstLine="284"/>
      </w:pPr>
      <w:r>
        <w:t>С.Н. Нерсесов, канд. техн. наук (руководитель темы); В.И. Пименова, М.И. Бруссер, канд. техн. наук, И.Н. Нагорняк</w:t>
      </w:r>
    </w:p>
    <w:p w:rsidR="00000000" w:rsidRDefault="00E5104C">
      <w:pPr>
        <w:spacing w:before="120"/>
        <w:ind w:right="2069" w:firstLine="284"/>
      </w:pPr>
      <w:r>
        <w:rPr>
          <w:b/>
        </w:rPr>
        <w:t>2. УТВЕРЖДЕН И ВВЕДЕН В ДЕЙСТВИЕ</w:t>
      </w:r>
      <w:r>
        <w:t xml:space="preserve"> Постановлением Государственного комитета СССР по делам строительства от 31 августа 1981 г. №157</w:t>
      </w:r>
    </w:p>
    <w:p w:rsidR="00000000" w:rsidRDefault="00E5104C">
      <w:pPr>
        <w:spacing w:before="120" w:after="120"/>
        <w:ind w:right="2069" w:firstLine="284"/>
      </w:pPr>
      <w:r>
        <w:rPr>
          <w:b/>
        </w:rPr>
        <w:t>3. ВЗАМЕН ГОСТ</w:t>
      </w:r>
      <w:r>
        <w:rPr>
          <w:b/>
          <w:lang w:val="en-US"/>
        </w:rPr>
        <w:t xml:space="preserve"> 1301</w:t>
      </w:r>
      <w:r>
        <w:rPr>
          <w:b/>
        </w:rPr>
        <w:t>5</w:t>
      </w:r>
      <w:r>
        <w:rPr>
          <w:b/>
          <w:lang w:val="en-US"/>
        </w:rPr>
        <w:t>-75</w:t>
      </w:r>
      <w:r>
        <w:t xml:space="preserve"> (в части правил приемки)</w:t>
      </w:r>
    </w:p>
    <w:p w:rsidR="00000000" w:rsidRDefault="00E5104C">
      <w:pPr>
        <w:spacing w:after="120"/>
        <w:ind w:right="2069" w:firstLine="284"/>
        <w:rPr>
          <w:b/>
        </w:rPr>
      </w:pPr>
      <w:r>
        <w:rPr>
          <w:b/>
        </w:rPr>
        <w:t>4. ССЫЛОЧНЫЕ НОРМАТИВНО-ТЕХНИЧЕСКИЕ ДОКУ</w:t>
      </w:r>
      <w:r>
        <w:rPr>
          <w:b/>
        </w:rPr>
        <w:softHyphen/>
        <w:t>МЕН</w:t>
      </w:r>
      <w:r>
        <w:rPr>
          <w:b/>
        </w:rPr>
        <w:softHyphen/>
        <w:t>ТЫ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bottom w:val="nil"/>
            </w:tcBorders>
          </w:tcPr>
          <w:p w:rsidR="00000000" w:rsidRDefault="00E5104C">
            <w:pPr>
              <w:ind w:right="43"/>
              <w:jc w:val="center"/>
            </w:pPr>
            <w:r>
              <w:t>Обозначение НТД, на который дана ссылка</w:t>
            </w:r>
          </w:p>
        </w:tc>
        <w:tc>
          <w:tcPr>
            <w:tcW w:w="2693" w:type="dxa"/>
            <w:tcBorders>
              <w:bottom w:val="nil"/>
            </w:tcBorders>
          </w:tcPr>
          <w:p w:rsidR="00000000" w:rsidRDefault="00E5104C">
            <w:pPr>
              <w:ind w:right="43"/>
              <w:jc w:val="center"/>
            </w:pPr>
            <w: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bottom w:val="nil"/>
            </w:tcBorders>
          </w:tcPr>
          <w:p w:rsidR="00000000" w:rsidRDefault="00E5104C">
            <w:pPr>
              <w:ind w:right="43" w:firstLine="709"/>
            </w:pPr>
            <w:r>
              <w:t xml:space="preserve">ГОСТ 8829-85 </w:t>
            </w:r>
          </w:p>
          <w:p w:rsidR="00000000" w:rsidRDefault="00E5104C">
            <w:pPr>
              <w:ind w:right="43" w:firstLine="709"/>
            </w:pPr>
            <w:r>
              <w:t xml:space="preserve">ГОСТ 10922-75 </w:t>
            </w:r>
          </w:p>
          <w:p w:rsidR="00000000" w:rsidRDefault="00E5104C">
            <w:pPr>
              <w:ind w:right="43" w:firstLine="709"/>
            </w:pPr>
            <w:r>
              <w:t xml:space="preserve">ГОСТ 13015.3-81 </w:t>
            </w:r>
          </w:p>
          <w:p w:rsidR="00000000" w:rsidRDefault="00E5104C">
            <w:pPr>
              <w:ind w:right="43" w:firstLine="709"/>
            </w:pPr>
            <w:r>
              <w:t xml:space="preserve">ГОСТ 15895-77 </w:t>
            </w:r>
          </w:p>
          <w:p w:rsidR="00000000" w:rsidRDefault="00E5104C">
            <w:pPr>
              <w:ind w:right="43" w:firstLine="709"/>
            </w:pPr>
            <w:r>
              <w:t xml:space="preserve">ГОСТ 16504-81 </w:t>
            </w:r>
          </w:p>
          <w:p w:rsidR="00000000" w:rsidRDefault="00E5104C">
            <w:pPr>
              <w:ind w:right="43" w:firstLine="709"/>
            </w:pPr>
            <w:r>
              <w:t xml:space="preserve">ГОСТ 18105-86 </w:t>
            </w:r>
          </w:p>
          <w:p w:rsidR="00000000" w:rsidRDefault="00E5104C">
            <w:pPr>
              <w:ind w:right="43" w:firstLine="709"/>
            </w:pPr>
            <w:r>
              <w:t xml:space="preserve">ГОСТ </w:t>
            </w:r>
            <w:r>
              <w:t xml:space="preserve">18321-73 </w:t>
            </w:r>
          </w:p>
          <w:p w:rsidR="00000000" w:rsidRDefault="00E5104C">
            <w:pPr>
              <w:ind w:right="43" w:firstLine="709"/>
            </w:pPr>
            <w:r>
              <w:t xml:space="preserve">ГОСТ 23616-79 </w:t>
            </w:r>
          </w:p>
          <w:p w:rsidR="00000000" w:rsidRDefault="00E5104C">
            <w:pPr>
              <w:ind w:right="43" w:firstLine="709"/>
            </w:pPr>
            <w:r>
              <w:t xml:space="preserve">ГОСТ 23858-79 </w:t>
            </w:r>
          </w:p>
          <w:p w:rsidR="00000000" w:rsidRDefault="00E5104C">
            <w:pPr>
              <w:ind w:right="43" w:firstLine="709"/>
            </w:pPr>
            <w:r>
              <w:t>ГОСТ 27005-86</w:t>
            </w:r>
          </w:p>
        </w:tc>
        <w:tc>
          <w:tcPr>
            <w:tcW w:w="2693" w:type="dxa"/>
            <w:tcBorders>
              <w:bottom w:val="nil"/>
            </w:tcBorders>
          </w:tcPr>
          <w:p w:rsidR="00000000" w:rsidRDefault="00E5104C">
            <w:pPr>
              <w:ind w:right="43"/>
              <w:jc w:val="center"/>
            </w:pPr>
            <w:r>
              <w:t xml:space="preserve">10 </w:t>
            </w:r>
          </w:p>
          <w:p w:rsidR="00000000" w:rsidRDefault="00E5104C">
            <w:pPr>
              <w:ind w:right="43"/>
              <w:jc w:val="center"/>
            </w:pPr>
            <w:r>
              <w:t xml:space="preserve">17 </w:t>
            </w:r>
          </w:p>
          <w:p w:rsidR="00000000" w:rsidRDefault="00E5104C">
            <w:pPr>
              <w:ind w:right="43"/>
              <w:jc w:val="center"/>
            </w:pPr>
            <w:r>
              <w:t xml:space="preserve">24 </w:t>
            </w:r>
          </w:p>
          <w:p w:rsidR="00000000" w:rsidRDefault="00E5104C">
            <w:pPr>
              <w:ind w:right="43"/>
              <w:jc w:val="center"/>
            </w:pPr>
            <w:r>
              <w:t>1</w:t>
            </w:r>
            <w:r>
              <w:rPr>
                <w:lang w:val="en-US"/>
              </w:rPr>
              <w:t xml:space="preserve"> </w:t>
            </w:r>
          </w:p>
          <w:p w:rsidR="00000000" w:rsidRDefault="00E5104C">
            <w:pPr>
              <w:ind w:right="43"/>
              <w:jc w:val="center"/>
            </w:pPr>
            <w:r>
              <w:t>1</w:t>
            </w:r>
            <w:r>
              <w:rPr>
                <w:lang w:val="en-US"/>
              </w:rPr>
              <w:t xml:space="preserve"> </w:t>
            </w:r>
          </w:p>
          <w:p w:rsidR="00000000" w:rsidRDefault="00E5104C">
            <w:pPr>
              <w:ind w:right="43"/>
              <w:jc w:val="center"/>
            </w:pPr>
            <w:r>
              <w:t>14</w:t>
            </w:r>
          </w:p>
          <w:p w:rsidR="00000000" w:rsidRDefault="00E5104C">
            <w:pPr>
              <w:ind w:right="43"/>
              <w:jc w:val="center"/>
            </w:pPr>
            <w:r>
              <w:t xml:space="preserve">20 </w:t>
            </w:r>
          </w:p>
          <w:p w:rsidR="00000000" w:rsidRDefault="00E5104C">
            <w:pPr>
              <w:ind w:right="43"/>
              <w:jc w:val="center"/>
            </w:pPr>
            <w:r>
              <w:t xml:space="preserve">20 </w:t>
            </w:r>
          </w:p>
          <w:p w:rsidR="00000000" w:rsidRDefault="00E5104C">
            <w:pPr>
              <w:ind w:right="43"/>
              <w:jc w:val="center"/>
            </w:pPr>
            <w:r>
              <w:t xml:space="preserve">17 </w:t>
            </w:r>
          </w:p>
          <w:p w:rsidR="00000000" w:rsidRDefault="00E5104C">
            <w:pPr>
              <w:ind w:right="43"/>
              <w:jc w:val="center"/>
            </w:pPr>
            <w:r>
              <w:t>16</w:t>
            </w:r>
          </w:p>
        </w:tc>
      </w:tr>
    </w:tbl>
    <w:p w:rsidR="00000000" w:rsidRDefault="00E5104C">
      <w:pPr>
        <w:spacing w:before="120" w:after="120"/>
        <w:ind w:right="1927" w:firstLine="284"/>
      </w:pPr>
      <w:r>
        <w:rPr>
          <w:b/>
        </w:rPr>
        <w:t>5. ПЕРЕИЗДАНИЕ</w:t>
      </w:r>
      <w:r>
        <w:t xml:space="preserve"> (сентябрь 1989 г.) с Изменениями № 1, 2, утвержденными в декабре 1986 г., декабре 1987 г. (ИУС 4-87, 4-88).</w:t>
      </w:r>
    </w:p>
    <w:p w:rsidR="00000000" w:rsidRDefault="00E5104C">
      <w:pPr>
        <w:ind w:right="1927" w:firstLine="284"/>
      </w:pPr>
    </w:p>
    <w:p w:rsidR="00000000" w:rsidRDefault="00E5104C"/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04C"/>
    <w:rsid w:val="00E5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2592</Words>
  <Characters>14776</Characters>
  <Application>Microsoft Office Word</Application>
  <DocSecurity>0</DocSecurity>
  <Lines>123</Lines>
  <Paragraphs>34</Paragraphs>
  <ScaleCrop>false</ScaleCrop>
  <Company>Elcom Ltd</Company>
  <LinksUpToDate>false</LinksUpToDate>
  <CharactersWithSpaces>17334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СОЮЗА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2013-04-11T10:50:00Z</dcterms:created>
  <dcterms:modified xsi:type="dcterms:W3CDTF">2013-04-11T10:50:00Z</dcterms:modified>
</cp:coreProperties>
</file>