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5683B">
      <w:pPr>
        <w:ind w:right="43" w:firstLine="284"/>
      </w:pPr>
      <w:bookmarkStart w:id="0" w:name="_GoBack"/>
      <w:bookmarkEnd w:id="0"/>
    </w:p>
    <w:p w:rsidR="00000000" w:rsidRDefault="00A5683B">
      <w:pPr>
        <w:spacing w:after="120"/>
        <w:ind w:right="45"/>
        <w:jc w:val="center"/>
        <w:rPr>
          <w:b/>
          <w:spacing w:val="20"/>
        </w:rPr>
      </w:pPr>
      <w:r>
        <w:rPr>
          <w:b/>
          <w:spacing w:val="20"/>
        </w:rPr>
        <w:t>ГОСУДАРСТВЕННЫЙ СТАНДАРТ СОЮЗА ССР</w:t>
      </w:r>
    </w:p>
    <w:p w:rsidR="00000000" w:rsidRDefault="00A5683B">
      <w:pPr>
        <w:spacing w:after="120"/>
        <w:ind w:right="45"/>
        <w:jc w:val="center"/>
        <w:rPr>
          <w:b/>
        </w:rPr>
      </w:pPr>
      <w:r>
        <w:rPr>
          <w:b/>
        </w:rPr>
        <w:t>КОНСТРУКЦИИ И ИЗДЕЛИЯ БЕТОННЫЕ И ЖЕЛЕЗОБЕТОННЫЕ СБОРНЫЕ</w:t>
      </w:r>
    </w:p>
    <w:p w:rsidR="00000000" w:rsidRDefault="00A5683B">
      <w:pPr>
        <w:spacing w:after="120"/>
        <w:ind w:right="45"/>
        <w:jc w:val="center"/>
        <w:rPr>
          <w:b/>
        </w:rPr>
      </w:pPr>
      <w:r>
        <w:rPr>
          <w:b/>
        </w:rPr>
        <w:t>Правила транспортирования и хранения</w:t>
      </w:r>
    </w:p>
    <w:p w:rsidR="00000000" w:rsidRDefault="00A5683B">
      <w:pPr>
        <w:spacing w:after="120"/>
        <w:ind w:right="45"/>
        <w:jc w:val="center"/>
        <w:rPr>
          <w:lang w:val="en-US"/>
        </w:rPr>
      </w:pPr>
      <w:r>
        <w:rPr>
          <w:lang w:val="en-US"/>
        </w:rPr>
        <w:t>Preiabricated concrete and reinforced concrete constructions and products. Rules for transportation and storage</w:t>
      </w:r>
    </w:p>
    <w:p w:rsidR="00000000" w:rsidRDefault="00A5683B">
      <w:pPr>
        <w:spacing w:after="120"/>
        <w:ind w:right="45"/>
        <w:jc w:val="center"/>
        <w:rPr>
          <w:b/>
        </w:rPr>
      </w:pPr>
      <w:r>
        <w:rPr>
          <w:b/>
        </w:rPr>
        <w:t>ГОСТ 13015.4-84</w:t>
      </w:r>
    </w:p>
    <w:p w:rsidR="00000000" w:rsidRDefault="00A5683B">
      <w:pPr>
        <w:spacing w:after="120"/>
        <w:ind w:right="45" w:firstLine="284"/>
        <w:jc w:val="right"/>
        <w:rPr>
          <w:u w:val="single"/>
        </w:rPr>
      </w:pPr>
      <w:r>
        <w:t xml:space="preserve">Дата введения </w:t>
      </w:r>
      <w:r>
        <w:rPr>
          <w:u w:val="single"/>
        </w:rPr>
        <w:t>01.01.85</w:t>
      </w:r>
    </w:p>
    <w:p w:rsidR="00000000" w:rsidRDefault="00A5683B">
      <w:pPr>
        <w:spacing w:after="120"/>
        <w:ind w:right="45"/>
        <w:jc w:val="center"/>
        <w:rPr>
          <w:b/>
        </w:rPr>
      </w:pPr>
      <w:r>
        <w:rPr>
          <w:b/>
        </w:rPr>
        <w:t>Несоблюдение стандарта преследуется по закону</w:t>
      </w:r>
    </w:p>
    <w:p w:rsidR="00000000" w:rsidRDefault="00A5683B">
      <w:pPr>
        <w:ind w:right="43" w:firstLine="284"/>
      </w:pPr>
      <w:r>
        <w:t>Настоящий стандарт распространяется на сборные бетонные и железобетонные конструкции и изделия (далее - конструкции), предназначенные для строительства всех видов, и устанавливает общие правила их транспортирования и хранения.</w:t>
      </w:r>
    </w:p>
    <w:p w:rsidR="00000000" w:rsidRDefault="00A5683B">
      <w:pPr>
        <w:spacing w:before="120" w:after="120"/>
        <w:ind w:right="45" w:firstLine="284"/>
        <w:jc w:val="center"/>
      </w:pPr>
      <w:r>
        <w:t>1. ОБЩИЕ ПОЛОЖЕНИЯ</w:t>
      </w:r>
    </w:p>
    <w:p w:rsidR="00000000" w:rsidRDefault="00A5683B">
      <w:pPr>
        <w:ind w:right="43" w:firstLine="284"/>
      </w:pPr>
      <w:r>
        <w:t>1.1. Конструкции следует транспортировать и хранить в соответствии с требованиями настоящего стандарта и стандарта или технических условий на конструкции конкретных видов.</w:t>
      </w:r>
    </w:p>
    <w:p w:rsidR="00000000" w:rsidRDefault="00A5683B">
      <w:pPr>
        <w:ind w:right="43" w:firstLine="284"/>
      </w:pPr>
      <w:r>
        <w:t>1.2. Конструкции при тра</w:t>
      </w:r>
      <w:r>
        <w:t>нспортировании и хранении следует укладывать (устанавливать) способом (в штабели, кассеты и др.), установленным стандартом или техническими условиями на конструкции конкретных видов в зависимости от их формы, размеров и назначения.</w:t>
      </w:r>
    </w:p>
    <w:p w:rsidR="00000000" w:rsidRDefault="00A5683B">
      <w:pPr>
        <w:ind w:right="43" w:firstLine="284"/>
      </w:pPr>
      <w:r>
        <w:t>Малогабаритные и легковесные конструкции следует транспортировать и хранить, как правило, в специализированных контейнерах или пакетах.</w:t>
      </w:r>
    </w:p>
    <w:p w:rsidR="00000000" w:rsidRDefault="00A5683B">
      <w:pPr>
        <w:ind w:right="43" w:firstLine="284"/>
      </w:pPr>
      <w:r>
        <w:t>1.3. Погрузку, транспортирование, разгрузку и хранение конструкций следует производить, соблюдая меры, исключающие возможность их повреждения.</w:t>
      </w:r>
    </w:p>
    <w:p w:rsidR="00000000" w:rsidRDefault="00A5683B">
      <w:pPr>
        <w:ind w:right="43" w:firstLine="284"/>
        <w:rPr>
          <w:lang w:val="en-US"/>
        </w:rPr>
      </w:pPr>
      <w:r>
        <w:t>П</w:t>
      </w:r>
      <w:r>
        <w:t xml:space="preserve">ри погрузочно-разгрузочных работах не допускается: </w:t>
      </w:r>
    </w:p>
    <w:p w:rsidR="00000000" w:rsidRDefault="00A5683B">
      <w:pPr>
        <w:ind w:right="43" w:firstLine="284"/>
      </w:pPr>
      <w:r>
        <w:t xml:space="preserve">разгружать конструкции со свободным их падением; </w:t>
      </w:r>
    </w:p>
    <w:p w:rsidR="00000000" w:rsidRDefault="00A5683B">
      <w:pPr>
        <w:ind w:right="43" w:firstLine="284"/>
      </w:pPr>
      <w:r>
        <w:t>перемещать конструкции по земле волоком;</w:t>
      </w:r>
    </w:p>
    <w:p w:rsidR="00000000" w:rsidRDefault="00A5683B">
      <w:pPr>
        <w:ind w:right="43" w:firstLine="284"/>
      </w:pPr>
      <w:r>
        <w:t>свободно (без торможения) перекатывать конструкции круглого поперечного сечения по наклонной плоскости, а также перемещать их без катков или без подкладок.</w:t>
      </w:r>
    </w:p>
    <w:p w:rsidR="00000000" w:rsidRDefault="00A5683B">
      <w:pPr>
        <w:ind w:right="43" w:firstLine="284"/>
      </w:pPr>
      <w:r>
        <w:t>1.4. Подъем, погрузку и разгрузку конструкций следует производить кранами при помощи траверс или стропов в соответствии со схемами строповки, приведенными в проектной документации на эти конструкции.</w:t>
      </w:r>
    </w:p>
    <w:p w:rsidR="00000000" w:rsidRDefault="00A5683B">
      <w:pPr>
        <w:ind w:right="43" w:firstLine="284"/>
      </w:pPr>
      <w:r>
        <w:t>Требования бе</w:t>
      </w:r>
      <w:r>
        <w:t>зопасности при проведении погрузочно-разгрузочных работ - по ГОСТ 12.3.009.</w:t>
      </w:r>
    </w:p>
    <w:p w:rsidR="00000000" w:rsidRDefault="00A5683B">
      <w:pPr>
        <w:ind w:right="43" w:firstLine="284"/>
      </w:pPr>
      <w:r>
        <w:t>1.5. Конструкции при транспортировании и хранении следует опирать на инвентарные подкладки или опоры другого типа, а между рядами конструкций в штабеле - на инвентарные прокладки прямоугольного (трапецеидального) поперечного сечения из дерева или других материалов, обеспечивающих сохранность конструкций.</w:t>
      </w:r>
    </w:p>
    <w:p w:rsidR="00000000" w:rsidRDefault="00A5683B">
      <w:pPr>
        <w:ind w:right="43" w:firstLine="284"/>
      </w:pPr>
      <w:r>
        <w:t>Толщина подкладок и прокладок должна быть не менее 30 мм. При наличии в конструкциях выступающих деталей или монтажных петель толщ</w:t>
      </w:r>
      <w:r>
        <w:t>ина подкладок и прокладок должна превышать размер выступающих деталей или петель не менее чем на 20 мм.</w:t>
      </w:r>
    </w:p>
    <w:p w:rsidR="00000000" w:rsidRDefault="00A5683B">
      <w:pPr>
        <w:ind w:right="43" w:firstLine="284"/>
      </w:pPr>
      <w:r>
        <w:lastRenderedPageBreak/>
        <w:t>Для конструкций круглого поперечного сечения подкладки и прокладки должны иметь упоры против раскатывания.</w:t>
      </w:r>
    </w:p>
    <w:p w:rsidR="00000000" w:rsidRDefault="00A5683B">
      <w:pPr>
        <w:spacing w:before="120" w:after="120"/>
        <w:ind w:right="45" w:firstLine="284"/>
      </w:pPr>
      <w:r>
        <w:rPr>
          <w:spacing w:val="20"/>
        </w:rPr>
        <w:t>Примечание</w:t>
      </w:r>
      <w:r>
        <w:t>. Минимальную толщину подкладок и прокладок изменяют, а также прокладки между рядами конструкций конкретных видов не устанавливают в случаях, указанных в стандартах или технических условиях на эти конструкции в зависимости от их формы, размеров и способа укладки.</w:t>
      </w:r>
    </w:p>
    <w:p w:rsidR="00000000" w:rsidRDefault="00A5683B">
      <w:pPr>
        <w:ind w:right="43" w:firstLine="284"/>
      </w:pPr>
      <w:r>
        <w:t>1.6. Расположение подкладок</w:t>
      </w:r>
      <w:r>
        <w:t xml:space="preserve"> (опор) и прокладок под конструкциями должно соответствовать установленному стандартом или техническими условиями на конструкции конкретных видов или проектной документацией на эти конструкции.</w:t>
      </w:r>
    </w:p>
    <w:p w:rsidR="00000000" w:rsidRDefault="00A5683B">
      <w:pPr>
        <w:ind w:right="43" w:firstLine="284"/>
      </w:pPr>
      <w:r>
        <w:t>При укладке конструкций в штабели подкладки и прокладки по высоте штабеля следует располагать по вертикали одна над другой.</w:t>
      </w:r>
    </w:p>
    <w:p w:rsidR="00000000" w:rsidRDefault="00A5683B">
      <w:pPr>
        <w:ind w:right="43" w:firstLine="284"/>
      </w:pPr>
      <w:r>
        <w:t>1.7. Конструкции или отдельные их элементы, показатели качества которых снижаются от попадания атмосферной влаги, должны быть защищены от увлажнения на период транспортирования и хранения.</w:t>
      </w:r>
    </w:p>
    <w:p w:rsidR="00000000" w:rsidRDefault="00A5683B">
      <w:pPr>
        <w:spacing w:before="120" w:after="120"/>
        <w:ind w:right="45"/>
        <w:jc w:val="center"/>
      </w:pPr>
      <w:r>
        <w:t>2. ТР</w:t>
      </w:r>
      <w:r>
        <w:t>АНСПОРТИРОВАНИЕ</w:t>
      </w:r>
    </w:p>
    <w:p w:rsidR="00000000" w:rsidRDefault="00A5683B">
      <w:pPr>
        <w:ind w:right="43" w:firstLine="284"/>
      </w:pPr>
      <w:r>
        <w:t>2.1. Транспортированию подлежат только те конструкции, прочность бетона которых достигла отпускной прочности в соответствии с требованиями ГОСТ 13015.0 и стандарта или технических условий на конструкции конкретных видов.</w:t>
      </w:r>
    </w:p>
    <w:p w:rsidR="00000000" w:rsidRDefault="00A5683B">
      <w:pPr>
        <w:ind w:right="43" w:firstLine="284"/>
      </w:pPr>
      <w:r>
        <w:t>2.2. Конструкции транспортируют, как правило, автодорожным, железнодорожным и водным транспортом в соответствии с действующими на этих видах транспорта правилами, утвержденными в установленном порядке.</w:t>
      </w:r>
    </w:p>
    <w:p w:rsidR="00000000" w:rsidRDefault="00A5683B">
      <w:pPr>
        <w:ind w:right="43" w:firstLine="284"/>
      </w:pPr>
      <w:r>
        <w:t>2.3. Погрузку и крепление при транспортировании конструкций на открытом ж</w:t>
      </w:r>
      <w:r>
        <w:t>елезнодорожном подвижном составе следует осуществлять с учетом полного использования их грузоподъемности и в соответствии с требованиями Правил перевозок грузов и Технических условий погрузки и крепления грузов, утвержденных Министерством путей сообщения СССР.</w:t>
      </w:r>
    </w:p>
    <w:p w:rsidR="00000000" w:rsidRDefault="00A5683B">
      <w:pPr>
        <w:ind w:right="43" w:firstLine="284"/>
      </w:pPr>
      <w:r>
        <w:t>2.4. Порядок укладки (установки) перевозимых конструкций на грузовую платформу должен, по возможности, обеспечивать равномерное распределение нагрузки относительно продольной оси симметрии и относительно осей колес грузовых платформ транспортных средс</w:t>
      </w:r>
      <w:r>
        <w:t>тв.</w:t>
      </w:r>
    </w:p>
    <w:p w:rsidR="00000000" w:rsidRDefault="00A5683B">
      <w:pPr>
        <w:ind w:right="43" w:firstLine="284"/>
      </w:pPr>
      <w:r>
        <w:t>2.5. Транспортирование длинномерных или крупногабаритных конструкций (ферм, балок, панелей и т.д.) автодорожным транспортом следует осуществлять на специальных автотранспортных средствах: фермовозах, балковозах, панелевозах и т.д., оборудованных крепежными и опорными устройствами, обеспечивающими сохранность конструкций и безопасность движения.</w:t>
      </w:r>
    </w:p>
    <w:p w:rsidR="00000000" w:rsidRDefault="00A5683B">
      <w:pPr>
        <w:ind w:right="43" w:firstLine="284"/>
      </w:pPr>
      <w:r>
        <w:t>2.6. Транспортирование конструкций следует производить, как правило, с учетом обеспечения их монтажа непосредственно с транспортных средств.</w:t>
      </w:r>
    </w:p>
    <w:p w:rsidR="00000000" w:rsidRDefault="00A5683B">
      <w:pPr>
        <w:ind w:right="43" w:firstLine="284"/>
      </w:pPr>
      <w:r>
        <w:t xml:space="preserve">2.7. Высоту штабеля </w:t>
      </w:r>
      <w:r>
        <w:t>конструкций при их транспортировании устанавливают в зависимости от грузоподъемности транспортных средств и допускаемых габаритов погрузки, но не более высоты штабеля конструкций конкретных видов при их хранении (п. 3.4).</w:t>
      </w:r>
    </w:p>
    <w:p w:rsidR="00000000" w:rsidRDefault="00A5683B">
      <w:pPr>
        <w:ind w:right="43" w:firstLine="284"/>
      </w:pPr>
      <w:r>
        <w:t>2.8. Зазоры между конструкциями и бортами грузовой платформы должны быть не менее 50 мм.</w:t>
      </w:r>
    </w:p>
    <w:p w:rsidR="00000000" w:rsidRDefault="00A5683B">
      <w:pPr>
        <w:ind w:right="43" w:firstLine="284"/>
      </w:pPr>
      <w:r>
        <w:lastRenderedPageBreak/>
        <w:t>2.9. Крепление конструкций на транспортном средстве должно исключать продольное и поперечное смещение конструкций, а также их взаимное столкновение и трение в процессе перевозки.</w:t>
      </w:r>
    </w:p>
    <w:p w:rsidR="00000000" w:rsidRDefault="00A5683B">
      <w:pPr>
        <w:ind w:right="43" w:firstLine="284"/>
      </w:pPr>
      <w:r>
        <w:t>2.10. При транспортиро</w:t>
      </w:r>
      <w:r>
        <w:t>вании конструкций пакетами должны соблюдаться требования ГОСТ 21929.</w:t>
      </w:r>
    </w:p>
    <w:p w:rsidR="00000000" w:rsidRDefault="00A5683B">
      <w:pPr>
        <w:spacing w:before="120" w:after="120"/>
        <w:ind w:right="45"/>
        <w:jc w:val="center"/>
      </w:pPr>
      <w:r>
        <w:t>3. ХРАНЕНИЕ</w:t>
      </w:r>
    </w:p>
    <w:p w:rsidR="00000000" w:rsidRDefault="00A5683B">
      <w:pPr>
        <w:ind w:right="43" w:firstLine="284"/>
      </w:pPr>
      <w:r>
        <w:t>3.1. Конструкции следует хранить на специально оборудованных складах рассортированными по видам и маркам.</w:t>
      </w:r>
    </w:p>
    <w:p w:rsidR="00000000" w:rsidRDefault="00A5683B">
      <w:pPr>
        <w:ind w:right="43" w:firstLine="284"/>
      </w:pPr>
      <w:r>
        <w:t>3.2. Площадка склада должна иметь плотную, выровненную поверхность с небольшим уклоном для водоотвода.</w:t>
      </w:r>
    </w:p>
    <w:p w:rsidR="00000000" w:rsidRDefault="00A5683B">
      <w:pPr>
        <w:ind w:right="43" w:firstLine="284"/>
      </w:pPr>
      <w:r>
        <w:t>3.3. Конструкции следует укладывать (устанавливать) на складе так, чтобы были видны маркировочные надписи и знаки, а также обеспечена возможность захвата каждой отдельно стоящей конструкции (или верхней конструкции в штабе</w:t>
      </w:r>
      <w:r>
        <w:t>ле), контейнера или пакета краном и свободный подъем для погрузки на транспортные средства.</w:t>
      </w:r>
    </w:p>
    <w:p w:rsidR="00000000" w:rsidRDefault="00A5683B">
      <w:pPr>
        <w:ind w:right="43" w:firstLine="284"/>
      </w:pPr>
      <w:r>
        <w:t>3.4. Высота штабеля конструкций должна соответствовать установленной стандартом или техническими условиями на конструкции конкретных видов.</w:t>
      </w:r>
    </w:p>
    <w:p w:rsidR="00000000" w:rsidRDefault="00A5683B">
      <w:pPr>
        <w:ind w:right="43" w:firstLine="284"/>
      </w:pPr>
      <w:r>
        <w:t xml:space="preserve">3.5. Размеры проходов и проездов между штабелями или отдельными конструкциями на складе должны соответствовать установленным СНиП </w:t>
      </w:r>
      <w:r>
        <w:rPr>
          <w:lang w:val="en-US"/>
        </w:rPr>
        <w:t>III-</w:t>
      </w:r>
      <w:r>
        <w:t>4-80*</w:t>
      </w:r>
    </w:p>
    <w:p w:rsidR="00000000" w:rsidRDefault="00A5683B">
      <w:pPr>
        <w:spacing w:before="120" w:after="120"/>
        <w:ind w:right="45"/>
        <w:jc w:val="center"/>
        <w:rPr>
          <w:b/>
        </w:rPr>
      </w:pPr>
      <w:r>
        <w:rPr>
          <w:b/>
        </w:rPr>
        <w:t>ИНФОРМАЦИОННЫЕ ДАННЫЕ</w:t>
      </w:r>
    </w:p>
    <w:p w:rsidR="00000000" w:rsidRDefault="00A5683B">
      <w:pPr>
        <w:ind w:right="43" w:firstLine="284"/>
      </w:pPr>
      <w:r>
        <w:rPr>
          <w:b/>
        </w:rPr>
        <w:t>1. РАЗРАБОТАН И ВНЕСЕН</w:t>
      </w:r>
      <w:r>
        <w:t xml:space="preserve"> Центральным научно-исследовательским и проектно-экспериментальным институтом промышленных здани</w:t>
      </w:r>
      <w:r>
        <w:t>й и сооружений (ЦНИИпромзданий) Госстроя СССР</w:t>
      </w:r>
    </w:p>
    <w:p w:rsidR="00000000" w:rsidRDefault="00A5683B">
      <w:pPr>
        <w:spacing w:before="120" w:after="120"/>
        <w:ind w:right="45" w:firstLine="284"/>
        <w:rPr>
          <w:b/>
        </w:rPr>
      </w:pPr>
      <w:r>
        <w:rPr>
          <w:b/>
        </w:rPr>
        <w:t>РАЗРАБОТЧИКИ</w:t>
      </w:r>
    </w:p>
    <w:p w:rsidR="00000000" w:rsidRDefault="00A5683B">
      <w:pPr>
        <w:ind w:right="43" w:firstLine="284"/>
      </w:pPr>
      <w:r>
        <w:t>С.Н. Нерсесов, канд. техн. наук (руководитель темы); Л.П. Киселев; В.И. Пименова; Д.А.Коршунов; А.Д.</w:t>
      </w:r>
      <w:r>
        <w:rPr>
          <w:lang w:val="en-US"/>
        </w:rPr>
        <w:t xml:space="preserve"> </w:t>
      </w:r>
      <w:r>
        <w:t>Либерман; П.И. Кривошеев; С.А. Каган, канд. техн. наук; М.Л. Зайченко, канд. техн. наук; В.И. Деньщиков</w:t>
      </w:r>
    </w:p>
    <w:p w:rsidR="00000000" w:rsidRDefault="00A5683B">
      <w:pPr>
        <w:spacing w:before="120"/>
        <w:ind w:right="45" w:firstLine="284"/>
      </w:pPr>
      <w:r>
        <w:rPr>
          <w:b/>
        </w:rPr>
        <w:t>2. УТВЕРЖДЕН И ВВЕДЕН В ДЕЙСТВИЕ</w:t>
      </w:r>
      <w:r>
        <w:t xml:space="preserve"> Постановлением Государственного комитета СССР по делам строительства от 20 ноября 1981 г. № 191</w:t>
      </w:r>
    </w:p>
    <w:p w:rsidR="00000000" w:rsidRDefault="00A5683B">
      <w:pPr>
        <w:spacing w:before="120" w:after="120"/>
        <w:ind w:right="45" w:firstLine="284"/>
      </w:pPr>
      <w:r>
        <w:rPr>
          <w:b/>
        </w:rPr>
        <w:t>3. ВЗАМЕН ГОСТ 13015-75</w:t>
      </w:r>
      <w:r>
        <w:t xml:space="preserve"> (в части требований к транспортированию и хранению)</w:t>
      </w:r>
    </w:p>
    <w:p w:rsidR="00000000" w:rsidRDefault="00A5683B">
      <w:pPr>
        <w:spacing w:after="120"/>
        <w:ind w:right="45" w:firstLine="284"/>
        <w:rPr>
          <w:b/>
        </w:rPr>
      </w:pPr>
      <w:r>
        <w:rPr>
          <w:b/>
        </w:rPr>
        <w:t>4. ССЫЛОЧНЫЕ НОРМАТИВНО-ТЕХНИЧЕСКИЕ ДОКУМЕН</w:t>
      </w:r>
      <w:r>
        <w:rPr>
          <w:b/>
        </w:rPr>
        <w:t>ТЫ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8"/>
        <w:gridCol w:w="324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</w:tcPr>
          <w:p w:rsidR="00000000" w:rsidRDefault="00A5683B">
            <w:pPr>
              <w:ind w:right="43"/>
              <w:jc w:val="center"/>
            </w:pPr>
            <w:r>
              <w:t>Обозначение НТД, на который дана ссылка</w:t>
            </w:r>
          </w:p>
        </w:tc>
        <w:tc>
          <w:tcPr>
            <w:tcW w:w="3248" w:type="dxa"/>
          </w:tcPr>
          <w:p w:rsidR="00000000" w:rsidRDefault="00A5683B">
            <w:pPr>
              <w:ind w:right="43" w:firstLine="284"/>
            </w:pPr>
            <w:r>
              <w:t>Номер пункта, подпункта</w:t>
            </w:r>
          </w:p>
          <w:p w:rsidR="00000000" w:rsidRDefault="00A5683B">
            <w:pPr>
              <w:ind w:right="43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</w:tcPr>
          <w:p w:rsidR="00000000" w:rsidRDefault="00A5683B">
            <w:pPr>
              <w:ind w:right="43" w:firstLine="284"/>
            </w:pPr>
            <w:r>
              <w:t xml:space="preserve">ГОСТ 12.3.009-76 </w:t>
            </w:r>
          </w:p>
          <w:p w:rsidR="00000000" w:rsidRDefault="00A5683B">
            <w:pPr>
              <w:ind w:right="43" w:firstLine="284"/>
            </w:pPr>
            <w:r>
              <w:t xml:space="preserve">ГОСТ 13015.0-83 </w:t>
            </w:r>
          </w:p>
          <w:p w:rsidR="00000000" w:rsidRDefault="00A5683B">
            <w:pPr>
              <w:ind w:right="43" w:firstLine="284"/>
            </w:pPr>
            <w:r>
              <w:t>ГОСТ 21929-76</w:t>
            </w:r>
          </w:p>
        </w:tc>
        <w:tc>
          <w:tcPr>
            <w:tcW w:w="3248" w:type="dxa"/>
          </w:tcPr>
          <w:p w:rsidR="00000000" w:rsidRDefault="00A5683B">
            <w:pPr>
              <w:ind w:right="43" w:firstLine="284"/>
            </w:pPr>
            <w:r>
              <w:t>1.4</w:t>
            </w:r>
          </w:p>
          <w:p w:rsidR="00000000" w:rsidRDefault="00A5683B">
            <w:pPr>
              <w:ind w:right="43" w:firstLine="284"/>
            </w:pPr>
            <w:r>
              <w:t xml:space="preserve">2.1 </w:t>
            </w:r>
          </w:p>
          <w:p w:rsidR="00000000" w:rsidRDefault="00A5683B">
            <w:pPr>
              <w:ind w:right="43" w:firstLine="284"/>
            </w:pPr>
            <w:r>
              <w:t>2.10</w:t>
            </w:r>
          </w:p>
        </w:tc>
      </w:tr>
    </w:tbl>
    <w:p w:rsidR="00000000" w:rsidRDefault="00A5683B">
      <w:pPr>
        <w:spacing w:before="120" w:after="120"/>
        <w:ind w:right="45" w:firstLine="284"/>
      </w:pPr>
      <w:r>
        <w:rPr>
          <w:b/>
        </w:rPr>
        <w:t>5. ПЕРЕИЗДАНИЕ</w:t>
      </w:r>
      <w:r>
        <w:t xml:space="preserve"> (сентябрь 1989 г.).</w:t>
      </w:r>
    </w:p>
    <w:p w:rsidR="00000000" w:rsidRDefault="00A5683B">
      <w:pPr>
        <w:ind w:right="2069"/>
      </w:pPr>
    </w:p>
    <w:sectPr w:rsidR="00000000">
      <w:pgSz w:w="12240" w:h="15840"/>
      <w:pgMar w:top="1440" w:right="416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683B"/>
    <w:rsid w:val="00A5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1056</Words>
  <Characters>6025</Characters>
  <Application>Microsoft Office Word</Application>
  <DocSecurity>0</DocSecurity>
  <Lines>50</Lines>
  <Paragraphs>14</Paragraphs>
  <ScaleCrop>false</ScaleCrop>
  <Company>Elcom Ltd</Company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СТАНДАРТ СОЮЗА ССР</dc:title>
  <dc:subject/>
  <dc:creator>Alexandre Katalov</dc:creator>
  <cp:keywords/>
  <dc:description/>
  <cp:lastModifiedBy>Parhomeiai</cp:lastModifiedBy>
  <cp:revision>2</cp:revision>
  <cp:lastPrinted>1601-01-01T00:00:00Z</cp:lastPrinted>
  <dcterms:created xsi:type="dcterms:W3CDTF">2013-04-11T10:50:00Z</dcterms:created>
  <dcterms:modified xsi:type="dcterms:W3CDTF">2013-04-11T10:50:00Z</dcterms:modified>
</cp:coreProperties>
</file>