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70B9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17057-89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666.264.7-431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354                                                                                        Группа Ж16</w:t>
      </w:r>
    </w:p>
    <w:p w:rsidR="00000000" w:rsidRDefault="000670B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Плитки стеклянные облицовочные коврово-мозаичные и ковры из них </w:t>
      </w: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</w:t>
      </w:r>
      <w:r>
        <w:rPr>
          <w:rFonts w:ascii="Times New Roman" w:hAnsi="Times New Roman"/>
          <w:sz w:val="20"/>
        </w:rPr>
        <w:t>овия</w:t>
      </w: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Glass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carpet-mosaic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facing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tiles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carpets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from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59 2140</w:t>
      </w:r>
    </w:p>
    <w:p w:rsidR="00000000" w:rsidRDefault="000670B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Дата введения 1990-01-01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Министерством промышленности строительных материалов СССР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 </w:t>
      </w:r>
      <w:proofErr w:type="spellStart"/>
      <w:r>
        <w:rPr>
          <w:rFonts w:ascii="Times New Roman" w:hAnsi="Times New Roman"/>
          <w:sz w:val="20"/>
        </w:rPr>
        <w:t>E</w:t>
      </w:r>
      <w:proofErr w:type="spellEnd"/>
      <w:r>
        <w:rPr>
          <w:rFonts w:ascii="Times New Roman" w:hAnsi="Times New Roman"/>
          <w:sz w:val="20"/>
        </w:rPr>
        <w:t xml:space="preserve">. Голубев,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 О. А. </w:t>
      </w:r>
      <w:proofErr w:type="spellStart"/>
      <w:r>
        <w:rPr>
          <w:rFonts w:ascii="Times New Roman" w:hAnsi="Times New Roman"/>
          <w:sz w:val="20"/>
        </w:rPr>
        <w:t>Голозубов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 Н. Г. </w:t>
      </w:r>
      <w:proofErr w:type="spellStart"/>
      <w:r>
        <w:rPr>
          <w:rFonts w:ascii="Times New Roman" w:hAnsi="Times New Roman"/>
          <w:sz w:val="20"/>
        </w:rPr>
        <w:t>Кисиленко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 В. В. Виноградова, О. А. </w:t>
      </w:r>
      <w:proofErr w:type="spellStart"/>
      <w:r>
        <w:rPr>
          <w:rFonts w:ascii="Times New Roman" w:hAnsi="Times New Roman"/>
          <w:sz w:val="20"/>
        </w:rPr>
        <w:t>Емельянова</w:t>
      </w:r>
      <w:proofErr w:type="spellEnd"/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 Министерством промышленности строительных материалов СССР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</w:t>
      </w:r>
      <w:r>
        <w:rPr>
          <w:rFonts w:ascii="Times New Roman" w:hAnsi="Times New Roman"/>
          <w:sz w:val="20"/>
        </w:rPr>
        <w:t xml:space="preserve">ьного комитета  СССР от  25.01.89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10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</w:t>
      </w:r>
      <w:proofErr w:type="spellStart"/>
      <w:r>
        <w:rPr>
          <w:rFonts w:ascii="Times New Roman" w:hAnsi="Times New Roman"/>
          <w:sz w:val="20"/>
        </w:rPr>
        <w:t>BЗАМЕН</w:t>
      </w:r>
      <w:proofErr w:type="spellEnd"/>
      <w:r>
        <w:rPr>
          <w:rFonts w:ascii="Times New Roman" w:hAnsi="Times New Roman"/>
          <w:sz w:val="20"/>
        </w:rPr>
        <w:t xml:space="preserve">  ГОСТ 17057-80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ССЫЛОЧНЫЕ НОРМАТИВНО-ТЕХНИЧЕСКИЕ  ДОКУМЕНТЫ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Внесены Поправки 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№ 2, 5 1990 г.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0"/>
        <w:gridCol w:w="3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на который дана ссылка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166-80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427-75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515-77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2067-80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2226-88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2228-81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7502-80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8273-75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14192-77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18477-79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21929-76</w:t>
            </w:r>
          </w:p>
        </w:tc>
        <w:tc>
          <w:tcPr>
            <w:tcW w:w="32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1.5.1, 1.5.2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24597-81</w:t>
            </w:r>
          </w:p>
        </w:tc>
        <w:tc>
          <w:tcPr>
            <w:tcW w:w="3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1.5.1, 1.5.2</w:t>
            </w:r>
          </w:p>
        </w:tc>
      </w:tr>
    </w:tbl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пли</w:t>
      </w:r>
      <w:r>
        <w:rPr>
          <w:rFonts w:ascii="Times New Roman" w:hAnsi="Times New Roman"/>
          <w:sz w:val="20"/>
        </w:rPr>
        <w:t xml:space="preserve">тки стеклянные коврово-мозаичные (далее - плитки), изготовленные методом непрерывного проката из </w:t>
      </w:r>
      <w:proofErr w:type="spellStart"/>
      <w:r>
        <w:rPr>
          <w:rFonts w:ascii="Times New Roman" w:hAnsi="Times New Roman"/>
          <w:sz w:val="20"/>
        </w:rPr>
        <w:t>глушеного</w:t>
      </w:r>
      <w:proofErr w:type="spellEnd"/>
      <w:r>
        <w:rPr>
          <w:rFonts w:ascii="Times New Roman" w:hAnsi="Times New Roman"/>
          <w:sz w:val="20"/>
        </w:rPr>
        <w:t xml:space="preserve"> стекла,  неокрашенного или  цветного, и ковры из них.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и ковры предназначены для наружной и внутренней облицовки стен зданий различного назначения, для изготовления декоративно-художественных панно.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 ТЕХНИЧЕСКИЕ ТРЕБОВАНИЯ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Плитки и ковры из них должны изготавливаться в соответствии с требованиями настоящего стандарта по технологической документации, утвержденной в установленном порядке</w:t>
      </w:r>
      <w:r>
        <w:rPr>
          <w:rFonts w:ascii="Times New Roman" w:hAnsi="Times New Roman"/>
          <w:sz w:val="20"/>
        </w:rPr>
        <w:t>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Форма и основные размеры  плиток должны соответствовать указанным на черт. 1 и 2.</w:t>
      </w: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5"/>
        <w:gridCol w:w="3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45" w:type="dxa"/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228.75pt">
                  <v:imagedata r:id="rId4" o:title=""/>
                </v:shape>
              </w:pict>
            </w:r>
          </w:p>
        </w:tc>
        <w:tc>
          <w:tcPr>
            <w:tcW w:w="3720" w:type="dxa"/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68pt;height:223.5pt">
                  <v:imagedata r:id="rId5" o:title=""/>
                </v:shape>
              </w:pict>
            </w:r>
          </w:p>
        </w:tc>
      </w:tr>
    </w:tbl>
    <w:p w:rsidR="00000000" w:rsidRDefault="000670B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Черт. 1                                                                         Черт. 2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Примечание. Допускается по соглашению изготовителя с потребителем изготавливать для внутренней и наружной облицовки стен плитки другой формы и размеров.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Размеры ковров из плиток должны соответствовать указанным в спецификации потребителя, согласованной с из</w:t>
      </w:r>
      <w:r>
        <w:rPr>
          <w:rFonts w:ascii="Times New Roman" w:hAnsi="Times New Roman"/>
          <w:sz w:val="20"/>
        </w:rPr>
        <w:t>готовителем.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Расстояние между плитками в ковре должно быть 3-7 мм.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ковре допускается смещение плиток от указанных размеров в количестве не более 5%.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1.2.4. Отклонения размеров ковров от номинальных не должны превышать </w:t>
      </w:r>
      <w:r>
        <w:rPr>
          <w:rFonts w:ascii="Times New Roman" w:hAnsi="Times New Roman"/>
          <w:position w:val="-1"/>
          <w:sz w:val="20"/>
        </w:rPr>
        <w:pict>
          <v:shape id="_x0000_i1027" type="#_x0000_t75" style="width:11.2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4 мм на каждый метр длины ковра, а по ширине  </w:t>
      </w:r>
      <w:r>
        <w:rPr>
          <w:rFonts w:ascii="Times New Roman" w:hAnsi="Times New Roman"/>
          <w:position w:val="-1"/>
          <w:sz w:val="20"/>
        </w:rPr>
        <w:pict>
          <v:shape id="_x0000_i1028" type="#_x0000_t75" style="width:11.2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>3 мм.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Плитки по показателям внешнего вида (порокам) должны соответствовать требованиям, указанным в табл. 1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35"/>
        <w:gridCol w:w="2130"/>
        <w:gridCol w:w="2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на одну плитку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(21х21) мм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(46х46)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Отбитые углы</w:t>
            </w:r>
          </w:p>
        </w:tc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</w:t>
            </w:r>
            <w:r>
              <w:rPr>
                <w:rFonts w:ascii="Times New Roman" w:hAnsi="Times New Roman"/>
                <w:sz w:val="20"/>
              </w:rPr>
              <w:t>ускаются более 1 шт. с размером по                                              стороне плитки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мм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Трещины</w:t>
            </w:r>
          </w:p>
        </w:tc>
        <w:tc>
          <w:tcPr>
            <w:tcW w:w="4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Посечки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поверхностные</w:t>
            </w:r>
          </w:p>
        </w:tc>
        <w:tc>
          <w:tcPr>
            <w:tcW w:w="45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соответствии с образцом-эталоном</w:t>
            </w:r>
          </w:p>
        </w:tc>
      </w:tr>
    </w:tbl>
    <w:p w:rsidR="00000000" w:rsidRDefault="000670B9">
      <w:pPr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Плитки следует поставлять в коврах. Ковры изготавливают путем наклеивания на бумагу плиток одного или нескольких цветов.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Ковры, фактура поверхности и цвет плиток должны соответствовать образцам-эталонам, утвержденным в установленном порядке.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соглашению изготовителя с потребителем поставлять п</w:t>
      </w:r>
      <w:r>
        <w:rPr>
          <w:rFonts w:ascii="Times New Roman" w:hAnsi="Times New Roman"/>
          <w:sz w:val="20"/>
        </w:rPr>
        <w:t>литки россыпью.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 Для изготовления ковров должны применять оберточную бумагу  по ГОСТ 8273 марки А массой 1 м</w:t>
      </w: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>от 90 до 120 г или бумагу  мешочную по ГОСТ 2228 марок М 78-А, М 70-А, М 70-</w:t>
      </w:r>
      <w:r>
        <w:rPr>
          <w:rFonts w:ascii="Times New Roman" w:hAnsi="Times New Roman"/>
          <w:sz w:val="20"/>
        </w:rPr>
        <w:lastRenderedPageBreak/>
        <w:t>Б, или упаковочную высокопрочную бумагу по нормативно-технической  документации (</w:t>
      </w:r>
      <w:proofErr w:type="spellStart"/>
      <w:r>
        <w:rPr>
          <w:rFonts w:ascii="Times New Roman" w:hAnsi="Times New Roman"/>
          <w:sz w:val="20"/>
        </w:rPr>
        <w:t>НТД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 Для приклеивания плиток к бумаге должен применяться костный клей по ГОСТ 2067 или другой клей, обеспечивающий прочность склейки, легкое смывание бумаги с плиток и не дающий на поверхности плиток несмываемых пятен.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Прочн</w:t>
      </w:r>
      <w:r>
        <w:rPr>
          <w:rFonts w:ascii="Times New Roman" w:hAnsi="Times New Roman"/>
          <w:sz w:val="20"/>
        </w:rPr>
        <w:t>ость ковров должна обеспечивать их сохранность при транспортировании и хранении.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На каждую стопу наклеивают ярлык или наносят штамп, в котором указывают: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или товарный знак предприятия-изготовителя;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продукции;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плиток и ковров в миллиметрах;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 плиток или ковров;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ковров или площадь и квадратных метрах;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упаковщика и дату упаковки;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 Транспортная маркировка наносится в соответствии с ГОСТ 14192 с указан</w:t>
      </w:r>
      <w:r>
        <w:rPr>
          <w:rFonts w:ascii="Times New Roman" w:hAnsi="Times New Roman"/>
          <w:sz w:val="20"/>
        </w:rPr>
        <w:t xml:space="preserve">ием манипуляционных знаков "Осторожно, хрупкое!", "Боится сырости".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 Предприятие-изготовитель должно сопровождать каждую партию ковров или плиток документом о качестве установленной формы, в котором указывают: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организации, в системе которой находится предприятие-изготовитель;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 и адрес предприятия-изготовителя;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 плиток или  ковров;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плиток или ковров в миллиметрах;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плиток (в килограммах, квадратных метрах) или ковров (в квадратных метрах);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дату изготовления;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Упаковка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1.5.1.  Ковры укладывают на плоские поддоны, изготовленные по утвержденной </w:t>
      </w:r>
      <w:proofErr w:type="spellStart"/>
      <w:r>
        <w:rPr>
          <w:rFonts w:ascii="Times New Roman" w:hAnsi="Times New Roman"/>
          <w:sz w:val="20"/>
        </w:rPr>
        <w:t>НТД</w:t>
      </w:r>
      <w:proofErr w:type="spellEnd"/>
      <w:r>
        <w:rPr>
          <w:rFonts w:ascii="Times New Roman" w:hAnsi="Times New Roman"/>
          <w:sz w:val="20"/>
        </w:rPr>
        <w:t>, стопами. Число ковров в стопе не  должно превышать 200.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стопы ковров накрывают битумной бумагой по ГОСТ 515, полиэтиленовой пленкой по ГОСТ 10354 или другим упаковочным материалом, предохраняющим ковры от увлажнения.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в крытых транспортных средствах по согласованию изготовителя с потребителем стопы ковров допускается не упаковывать во вла</w:t>
      </w:r>
      <w:r>
        <w:rPr>
          <w:rFonts w:ascii="Times New Roman" w:hAnsi="Times New Roman"/>
          <w:sz w:val="20"/>
        </w:rPr>
        <w:t>гозащитные материалы.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железнодорожных перевозках формируют транспортные пакеты по ГОСТ 21929  и ГОСТ 24597.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1990)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1.5.2. При  поставке россыпью плитки одинаковых размеров, фактуры поверхности и одного  цвета упаковывают в бумажные 4- или 5-слойные мешки по ГОСТ 2226 или в контейнеры по ТУ 21-23-300-89. 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железнодорожных перевозках мешки по </w:t>
      </w:r>
      <w:proofErr w:type="spellStart"/>
      <w:r>
        <w:rPr>
          <w:rFonts w:ascii="Times New Roman" w:hAnsi="Times New Roman"/>
          <w:sz w:val="20"/>
        </w:rPr>
        <w:t>НТД</w:t>
      </w:r>
      <w:proofErr w:type="spellEnd"/>
      <w:r>
        <w:rPr>
          <w:rFonts w:ascii="Times New Roman" w:hAnsi="Times New Roman"/>
          <w:sz w:val="20"/>
        </w:rPr>
        <w:t xml:space="preserve">, зашитые машинным способом или перевязанные любым перевязочным материалом, укладывают на поддоны, изготовленные по </w:t>
      </w:r>
      <w:proofErr w:type="spellStart"/>
      <w:r>
        <w:rPr>
          <w:rFonts w:ascii="Times New Roman" w:hAnsi="Times New Roman"/>
          <w:sz w:val="20"/>
        </w:rPr>
        <w:t>НТД</w:t>
      </w:r>
      <w:proofErr w:type="spellEnd"/>
      <w:r>
        <w:rPr>
          <w:rFonts w:ascii="Times New Roman" w:hAnsi="Times New Roman"/>
          <w:sz w:val="20"/>
        </w:rPr>
        <w:t xml:space="preserve"> и фор</w:t>
      </w:r>
      <w:r>
        <w:rPr>
          <w:rFonts w:ascii="Times New Roman" w:hAnsi="Times New Roman"/>
          <w:sz w:val="20"/>
        </w:rPr>
        <w:t xml:space="preserve">мируют в транспортные пакеты по ГОСТ 21929 и ГОСТ 24597 или  укладывают в контейнеры по ГОСТ 18477.    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1990)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ПРИЕМКА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Приемку и  поставку ковров или плиток производят партиями. В партию должны входить ковры или плитки одного размера, цвета или рисунка. Размер партии устанавливают в количестве не более суточной выработки одной технологической линии.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При проверке ковров на соответствие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1.2.2-1.2.4; 1.3.2; 1.3.5 применяют двухступенчатый контроль, для чего о</w:t>
      </w:r>
      <w:r>
        <w:rPr>
          <w:rFonts w:ascii="Times New Roman" w:hAnsi="Times New Roman"/>
          <w:sz w:val="20"/>
        </w:rPr>
        <w:t>т партии отбирают ковры в выборку в соответствии с табл. 2.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0"/>
        <w:gridCol w:w="1215"/>
        <w:gridCol w:w="1350"/>
        <w:gridCol w:w="1290"/>
        <w:gridCol w:w="1575"/>
        <w:gridCol w:w="1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 ковров, шт.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Ступени контроля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одной выборки ковров, шт.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двух выборок ковров, шт.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Приемочное число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Браковочное число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150-280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281-500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501-1200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1201-3200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3201-10000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</w:tbl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Партию к</w:t>
      </w:r>
      <w:r>
        <w:rPr>
          <w:rFonts w:ascii="Times New Roman" w:hAnsi="Times New Roman"/>
          <w:sz w:val="20"/>
        </w:rPr>
        <w:t>овров принимают, если количество дефектных ковров в первой выборке меньше или равно приемочному числу, и бракуют без назначения второй выборки, если количество  дефектных ковров больше или равно браковочному числу.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количество дефектных ковров в первой выборке больше приемочного числа, но меньше браковочного, производят вторую выборку.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Партию ковров принимают, если количество дефектных ковров в двух выборках меньше или равно приемочному числу, и бракуют, если количество дефектных ковров в двух выборках </w:t>
      </w:r>
      <w:r>
        <w:rPr>
          <w:rFonts w:ascii="Times New Roman" w:hAnsi="Times New Roman"/>
          <w:sz w:val="20"/>
        </w:rPr>
        <w:t>больше  или равно браковочному числу.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Для проверки плиток на соответствие требованиям настоящего стандарта отбирают 5 ковров из числа принятых по п. 2.2; 2.3. При этом из ковров отбирают не менее 100 плиток, а в случае поставки плиток россыпью - не менее 200 плиток.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при проверке окажется свыше 15% плиток, не удовлетворяющих требованиям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1.2.1, 1.3.1, производят повторную проверку удвоенного количества плиток той же партии ковров по показателю, не удовлетворяющему требованию настоящего стандарта</w:t>
      </w:r>
      <w:r>
        <w:rPr>
          <w:rFonts w:ascii="Times New Roman" w:hAnsi="Times New Roman"/>
          <w:sz w:val="20"/>
        </w:rPr>
        <w:t xml:space="preserve">.  При неудовлетворительных результатах повторной проверки партия ковров приемке не подлежит.    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ИСПЫТАНИЙ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3.1.Размеры  плиток, отбитых углов измеряют штангенциркулем по  ГОСТ 166 с ценой деления до 0,1 мм или калибрами, изготовленными по чертежам, утвержденным в установленном порядке.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между плитками в ковре измеряют штангенциркулем по ГОСТ 166 с ценой деления до 0,1 мм в соответствии с черт. 3 на пяти горизонтальных и пяти вертикальных швах в двух произвольно выбранных местах.</w:t>
      </w:r>
    </w:p>
    <w:p w:rsidR="00000000" w:rsidRDefault="000670B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178.5pt;height:72.75pt">
            <v:imagedata r:id="rId7" o:title=""/>
          </v:shape>
        </w:pict>
      </w:r>
    </w:p>
    <w:p w:rsidR="00000000" w:rsidRDefault="000670B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</w:t>
      </w:r>
      <w:r>
        <w:rPr>
          <w:rFonts w:ascii="Times New Roman" w:hAnsi="Times New Roman"/>
          <w:sz w:val="20"/>
        </w:rPr>
        <w:t xml:space="preserve">ерт. 3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плиток в коврах измеряют штангенциркулем по ГОСТ 166 с ценой деления до 0.1 мм.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измерении толщины плиток с рифленой поверхностью высоту </w:t>
      </w:r>
      <w:proofErr w:type="spellStart"/>
      <w:r>
        <w:rPr>
          <w:rFonts w:ascii="Times New Roman" w:hAnsi="Times New Roman"/>
          <w:sz w:val="20"/>
        </w:rPr>
        <w:t>рифлений</w:t>
      </w:r>
      <w:proofErr w:type="spellEnd"/>
      <w:r>
        <w:rPr>
          <w:rFonts w:ascii="Times New Roman" w:hAnsi="Times New Roman"/>
          <w:sz w:val="20"/>
        </w:rPr>
        <w:t xml:space="preserve"> включают в номинальную толщину.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каждого  измерения должны находиться в пределах  допускаемых размеров.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Размеры ковров измеряют металлической рулеткой по ГОСТ 7502 или линейкой по ГОСТ 427 с ценой деления до 1 мм. Измерение ковра производят по ребрам крайних плиток, посередине и по краям ковра. Результаты каждого измерения должны</w:t>
      </w:r>
      <w:r>
        <w:rPr>
          <w:rFonts w:ascii="Times New Roman" w:hAnsi="Times New Roman"/>
          <w:sz w:val="20"/>
        </w:rPr>
        <w:t xml:space="preserve"> находиться в пределах допускаемых размеров.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Соответствие внешнего вида, цвета и фактуры поверхности плиток эталону проверяют при освещенности не менее 200 </w:t>
      </w:r>
      <w:proofErr w:type="spellStart"/>
      <w:r>
        <w:rPr>
          <w:rFonts w:ascii="Times New Roman" w:hAnsi="Times New Roman"/>
          <w:sz w:val="20"/>
        </w:rPr>
        <w:t>лк</w:t>
      </w:r>
      <w:proofErr w:type="spellEnd"/>
      <w:r>
        <w:rPr>
          <w:rFonts w:ascii="Times New Roman" w:hAnsi="Times New Roman"/>
          <w:sz w:val="20"/>
        </w:rPr>
        <w:t xml:space="preserve"> визуально на расстоянии 1,5-2,0 м от наблюдателя. Цвет и фактура поверхности  проверяемых плиток  должны соответствовать цвету и фактуре поверхности эталона.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Прочность склейки плиток с бумагой проверяют путем трехкратного свертывания в рулон и последующего развертывания ковра, уложенного плитками наружу. При этом допускается отрыв плиток от </w:t>
      </w:r>
      <w:r>
        <w:rPr>
          <w:rFonts w:ascii="Times New Roman" w:hAnsi="Times New Roman"/>
          <w:sz w:val="20"/>
        </w:rPr>
        <w:t>бумаги не более 1 % от количества плиток в ковре.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Внутренний диаметр рулона при свертывании ковра должен быть от 100 до 120 мм.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ТРАНСПОРТИРОВАНИЕ И ХРАНЕНИЕ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Ковры и плитки транспортируют любым видом транспорта в соответствии с правилами перевозок, действующими на данном виде транспорта.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Транспортирование производится в крытых железнодорожных вагонах в соответствии с правилами перевозок грузов и "Техническими условиями погрузки и крепления грузов", утвержденными  Министерством путей сообщения СССР</w:t>
      </w:r>
      <w:r>
        <w:rPr>
          <w:rFonts w:ascii="Times New Roman" w:hAnsi="Times New Roman"/>
          <w:sz w:val="20"/>
        </w:rPr>
        <w:t>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Плитки в упаковке и ковры должны храниться в закрытых помещениях.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ГАРАНТИИ ИЗГОТОВИТЕЛЯ 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Изготовитель гарантирует соответствие ковров и плиток требованиям настоящего стандарта при соблюдении условий транспортирования и хранения, установленных настоящим стандартом.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Гарантийный срок хранения ковров - не более 30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со дня изготовления.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0670B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Чертежи 1, 2</w:t>
      </w:r>
    </w:p>
    <w:p w:rsidR="00000000" w:rsidRDefault="000670B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0670B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МЕТОДЫ ИСПЫТАНИЙ</w:t>
      </w:r>
    </w:p>
    <w:p w:rsidR="00000000" w:rsidRDefault="000670B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0670B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0670B9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ГАРАНТИИ ИЗГОТОВИТЕЛЯ</w:t>
      </w: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670B9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0B9"/>
    <w:rsid w:val="000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1564</Words>
  <Characters>8919</Characters>
  <Application>Microsoft Office Word</Application>
  <DocSecurity>0</DocSecurity>
  <Lines>74</Lines>
  <Paragraphs>20</Paragraphs>
  <ScaleCrop>false</ScaleCrop>
  <Company>Elcom Ltd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17057-89</dc:title>
  <dc:subject/>
  <dc:creator>CNTI</dc:creator>
  <cp:keywords/>
  <dc:description/>
  <cp:lastModifiedBy>Parhomeiai</cp:lastModifiedBy>
  <cp:revision>2</cp:revision>
  <cp:lastPrinted>1999-06-22T09:52:00Z</cp:lastPrinted>
  <dcterms:created xsi:type="dcterms:W3CDTF">2013-04-11T11:02:00Z</dcterms:created>
  <dcterms:modified xsi:type="dcterms:W3CDTF">2013-04-11T11:02:00Z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50948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