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35E5">
      <w:pPr>
        <w:jc w:val="right"/>
      </w:pPr>
      <w:bookmarkStart w:id="0" w:name="_GoBack"/>
      <w:bookmarkEnd w:id="0"/>
      <w:r>
        <w:t>ГОСТ 17.1.3.12-86</w:t>
      </w:r>
    </w:p>
    <w:p w:rsidR="00000000" w:rsidRDefault="003835E5">
      <w:pPr>
        <w:jc w:val="right"/>
      </w:pPr>
    </w:p>
    <w:p w:rsidR="00000000" w:rsidRDefault="003835E5">
      <w:pPr>
        <w:jc w:val="right"/>
      </w:pPr>
      <w:r>
        <w:t>УДК 502.3.006                                                                                                                Группа Т58</w:t>
      </w:r>
    </w:p>
    <w:p w:rsidR="00000000" w:rsidRDefault="003835E5">
      <w:pPr>
        <w:jc w:val="right"/>
      </w:pPr>
    </w:p>
    <w:p w:rsidR="00000000" w:rsidRDefault="003835E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3835E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835E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ОХРАНА ПРИРОДЫ. ГИДРОСФЕРА</w:t>
      </w:r>
    </w:p>
    <w:p w:rsidR="00000000" w:rsidRDefault="003835E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835E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правила охраны вод от загрязне</w:t>
      </w:r>
      <w:r>
        <w:rPr>
          <w:rFonts w:ascii="Times New Roman" w:hAnsi="Times New Roman"/>
          <w:sz w:val="20"/>
        </w:rPr>
        <w:t>ния при бурении и добыче нефти и газа на суше</w:t>
      </w:r>
    </w:p>
    <w:p w:rsidR="00000000" w:rsidRDefault="003835E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835E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Nature protection. Hydrosphere. General rules for water pollution protection over well drilling and oil and gas extracting on land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ОКСТУ 0217</w:t>
      </w:r>
    </w:p>
    <w:p w:rsidR="00000000" w:rsidRDefault="003835E5">
      <w:pPr>
        <w:ind w:firstLine="284"/>
        <w:jc w:val="right"/>
        <w:rPr>
          <w:i/>
        </w:rPr>
      </w:pPr>
      <w:r>
        <w:rPr>
          <w:i/>
        </w:rPr>
        <w:t>Дата введения 1987-07-01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РАЗРАБОТАН</w:t>
      </w:r>
    </w:p>
    <w:p w:rsidR="00000000" w:rsidRDefault="003835E5">
      <w:pPr>
        <w:ind w:firstLine="284"/>
        <w:jc w:val="both"/>
      </w:pPr>
      <w:r>
        <w:t>Министерством нефтяной промышленности</w:t>
      </w:r>
    </w:p>
    <w:p w:rsidR="00000000" w:rsidRDefault="003835E5">
      <w:pPr>
        <w:ind w:firstLine="284"/>
        <w:jc w:val="both"/>
      </w:pPr>
      <w:r>
        <w:t>Министерством мелиорации и водного хозяйства СССР</w:t>
      </w:r>
    </w:p>
    <w:p w:rsidR="00000000" w:rsidRDefault="003835E5">
      <w:pPr>
        <w:ind w:firstLine="284"/>
        <w:jc w:val="both"/>
      </w:pPr>
      <w:r>
        <w:t>Министерством здравоохранения РСФСР</w:t>
      </w:r>
    </w:p>
    <w:p w:rsidR="00000000" w:rsidRDefault="003835E5">
      <w:pPr>
        <w:ind w:firstLine="284"/>
        <w:jc w:val="both"/>
      </w:pPr>
      <w:r>
        <w:t>Министерством здравоохранения УССР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ИСПОЛНИТЕЛИ</w:t>
      </w:r>
    </w:p>
    <w:p w:rsidR="00000000" w:rsidRDefault="003835E5">
      <w:pPr>
        <w:ind w:firstLine="284"/>
        <w:jc w:val="both"/>
      </w:pPr>
      <w:r>
        <w:t>А.Э. Андрианова; У.М. Байков, канд. техн. наук; Р.Р. Лукманов, канд. техн. наук; В.Н. Ладыженский, канд. техн. на</w:t>
      </w:r>
      <w:r>
        <w:t>ук; М.А. Галеев, канд. мед, наук; И.Н. Безкопыльный, канд. мед. наук; А.У. Шарипов, канд. техн. наук; Б.И. Лерман, канд. геол.-минерал. наук; М.А. Кузнецова; Л.К. Калмыкова; Ю.П. Грицак, канд. техн. наук; Э.А. Кордыш, Г.В. Шишка, А.А. Деканоидзе; В.Н. Литюк; В.В. Волковинский, канд. биол. наук; Л.3. Блисковская; Н.А. Михайлов, канд. геол.-минерал. наук; Э.А. Стрижевская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ВНЕСЕН</w:t>
      </w:r>
    </w:p>
    <w:p w:rsidR="00000000" w:rsidRDefault="003835E5">
      <w:pPr>
        <w:ind w:firstLine="284"/>
        <w:jc w:val="both"/>
      </w:pPr>
      <w:r>
        <w:t>Министерством нефтяной промышленности</w:t>
      </w:r>
    </w:p>
    <w:p w:rsidR="00000000" w:rsidRDefault="003835E5">
      <w:pPr>
        <w:ind w:firstLine="284"/>
        <w:jc w:val="both"/>
      </w:pPr>
      <w:r>
        <w:t>Член Коллегии Г. И. Григоращенко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УТВЕРЖДЕН И ВВЕДЕН В ДЕЙСТВИЕ Постановлением Государственно</w:t>
      </w:r>
      <w:r>
        <w:t>го комитета СССР по стандартам от 26 марта 1986 г. № 691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Настоящий стандарт устанавливает общие правила охраны водных объектов суши (водоемов, водотоков и подземных вод) от загрязнения при разведочном бурении, разбуривании, освоении и эксплуатации нефтяных, газовых и газоконденсатных месторождений, а также - правила контроля за состоянием поверхностных и подземных вод, осуществляемого организациями-водопользователями.</w:t>
      </w:r>
    </w:p>
    <w:p w:rsidR="00000000" w:rsidRDefault="003835E5">
      <w:pPr>
        <w:ind w:firstLine="284"/>
        <w:jc w:val="both"/>
      </w:pPr>
      <w:r>
        <w:t>Правила, устанавливаемые настоящим стандартом, обязательны для применения при проектиров</w:t>
      </w:r>
      <w:r>
        <w:t>ании, обустройстве и эксплуатации нефтяных, газовых и газоконденсатных месторождений, а также при бурении и освоении скважин.</w:t>
      </w:r>
    </w:p>
    <w:p w:rsidR="00000000" w:rsidRDefault="003835E5">
      <w:pPr>
        <w:ind w:firstLine="284"/>
        <w:jc w:val="both"/>
      </w:pPr>
      <w:r>
        <w:t>Термины, применяемые в настоящем стандарте, по ГОСТ 17.1.1.01-77, ГОСТ 17.1.1.02-77, ГОСТ 17403-77, ГОСТ 19179-73, ГОСТ 19185-73.</w:t>
      </w:r>
    </w:p>
    <w:p w:rsidR="00000000" w:rsidRDefault="003835E5">
      <w:pPr>
        <w:ind w:firstLine="284"/>
        <w:jc w:val="both"/>
      </w:pPr>
    </w:p>
    <w:p w:rsidR="00000000" w:rsidRDefault="003835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1.1. Проекты разведки, проекты разработки и обустройства нефтяных и газовых месторождений, а также проекты строительства скважин на нефть и газ должны содержать раздел "Охрана окружающей среды" с указанием мер и средств защиты поверхно</w:t>
      </w:r>
      <w:r>
        <w:t>стных и подземных вод от загрязнения нефтью, нефтепродуктами, буровыми растворами, химическими реагентами, применяемыми в процессе производственной деятельности буровых и нефтегазодобывающих предприятий, а также производственными, хозяйственно-бытовыми водами с территории скважины и твердыми отходами производства.</w:t>
      </w:r>
    </w:p>
    <w:p w:rsidR="00000000" w:rsidRDefault="003835E5">
      <w:pPr>
        <w:ind w:firstLine="284"/>
        <w:jc w:val="both"/>
      </w:pPr>
      <w:r>
        <w:lastRenderedPageBreak/>
        <w:t>1.2. Производственные, хозяйственно-бытовые, сточные воды от промывки технологического оборудования и тары из-под химических реагентов, а также сточные воды с производственных площадок буровых уст</w:t>
      </w:r>
      <w:r>
        <w:t>ановок (далее - сточные воды) после соответствующей очистки и обработки следует использовать повторно (закачивать в скважину для поддержания пластового давления на нефтяных месторождениях или направлять в систему оборотного водоснабжения).</w:t>
      </w:r>
    </w:p>
    <w:p w:rsidR="00000000" w:rsidRDefault="003835E5">
      <w:pPr>
        <w:ind w:firstLine="284"/>
        <w:jc w:val="both"/>
      </w:pPr>
      <w:r>
        <w:t>1.3. При невозможности повторного использования сточных вод допускается сброс их в водные объекты после очистки на очистных сооружениях в соответствии с нормативами, установленными правилами охраны поверхностных вод от загрязнения сточными водами, утвержденными Министерст</w:t>
      </w:r>
      <w:r>
        <w:t>вом здравоохранения СССР, Министерством мелиорации и водного хозяйства СССР и Министерством рыбного хозяйства СССР, и с соблюдением установленных предельно допустимых сбросов или захоронение в глубокозалегающих горизонтах при наличии разрешения, полученного в установленном порядке.</w:t>
      </w:r>
    </w:p>
    <w:p w:rsidR="00000000" w:rsidRDefault="003835E5">
      <w:pPr>
        <w:ind w:firstLine="284"/>
        <w:jc w:val="both"/>
      </w:pPr>
      <w:r>
        <w:t>1.4. При наличии в разрезе скважины проницаемых горизонтов, содержащих пресные воды, которые могут быть использованы как источник хозяйственно-питьевого водоснабжения, химические реагенты, применяемые для приготовления бурового р</w:t>
      </w:r>
      <w:r>
        <w:t>аствора, должны быть согласованы с Министерством здравоохранения СССР.</w:t>
      </w:r>
    </w:p>
    <w:p w:rsidR="00000000" w:rsidRDefault="003835E5">
      <w:pPr>
        <w:ind w:firstLine="284"/>
        <w:jc w:val="both"/>
      </w:pPr>
      <w:r>
        <w:t>1.5. Сооружаемые на территории скважины трубопроводы должны быть защищены в местах пересечения с подъездными путями и дорогами от возможных повреждений, которые могут привести к загрязнению вод и окружающей среды.</w:t>
      </w:r>
    </w:p>
    <w:p w:rsidR="00000000" w:rsidRDefault="003835E5">
      <w:pPr>
        <w:ind w:firstLine="284"/>
        <w:jc w:val="both"/>
      </w:pPr>
      <w:r>
        <w:t>1.6. При проведении поисково-разведочных работ на водных объектах рыбохозяйственного использования (кроме объектов высшей и первой категории по ГОСТ 17.1.2.04-77) и в их прибрежных водоохранных зонах взрывные работы проводят по</w:t>
      </w:r>
      <w:r>
        <w:t xml:space="preserve"> согласованию с Министерством рыбного хозяйства СССР.</w:t>
      </w:r>
    </w:p>
    <w:p w:rsidR="00000000" w:rsidRDefault="003835E5">
      <w:pPr>
        <w:ind w:firstLine="284"/>
        <w:jc w:val="both"/>
      </w:pPr>
      <w:r>
        <w:t>Взрывные работы на водных объектах высшей и первой категории рыбохозяйственного использования не допускаются.</w:t>
      </w:r>
    </w:p>
    <w:p w:rsidR="00000000" w:rsidRDefault="003835E5">
      <w:pPr>
        <w:ind w:firstLine="284"/>
        <w:jc w:val="both"/>
      </w:pPr>
      <w:r>
        <w:t>1.7. Не допускается размещение скважин на водных объектах высшей и первой категории по ГОСТ 17.1.2.04-77, представляющих особую ценность в качестве среды обитания рыб и других водных животных (места нереста, нагула рыб, расположения зимовальных ям), а также в их водоохранных зонах.</w:t>
      </w:r>
    </w:p>
    <w:p w:rsidR="00000000" w:rsidRDefault="003835E5">
      <w:pPr>
        <w:ind w:firstLine="284"/>
        <w:jc w:val="both"/>
      </w:pPr>
      <w:r>
        <w:t>Размещение скважин в прибрежных водоохранных зонах, в запретных п</w:t>
      </w:r>
      <w:r>
        <w:t>олосах лесов вдоль водных объектов других категорий должно быть согласовано в установленном порядке.</w:t>
      </w:r>
    </w:p>
    <w:p w:rsidR="00000000" w:rsidRDefault="003835E5">
      <w:pPr>
        <w:ind w:firstLine="284"/>
        <w:jc w:val="both"/>
      </w:pPr>
    </w:p>
    <w:p w:rsidR="00000000" w:rsidRDefault="003835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ПРАВИЛА ОХРАНЫ ВОД ОТ ЗАГРЯЗНЕНИЯ ПРИ БУРЕНИИ И ОСВОЕНИИ СКВАЖИН НА НЕФТЬ И ГАЗ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2.1. Для обеспечения технической водой в процессе бурения и освоения скважин на нефть и газ используют, при наличии разрешения на специальное водопользование, воду из близлежащих водоемов и водотоков или из специально пробуренных скважин на воду, если нет других источников водоснабжения.</w:t>
      </w:r>
    </w:p>
    <w:p w:rsidR="00000000" w:rsidRDefault="003835E5">
      <w:pPr>
        <w:ind w:firstLine="284"/>
        <w:jc w:val="both"/>
      </w:pPr>
      <w:r>
        <w:t>Скважины на воду должны быть ликвидир</w:t>
      </w:r>
      <w:r>
        <w:t>ованы после окончания буровых работ или переданы на баланс местных организаций (предприятий) в установленном порядке.</w:t>
      </w:r>
    </w:p>
    <w:p w:rsidR="00000000" w:rsidRDefault="003835E5">
      <w:pPr>
        <w:ind w:firstLine="284"/>
        <w:jc w:val="both"/>
      </w:pPr>
      <w:r>
        <w:t>2.2. При заборе воды из рыбохозяйственных водных объектов водозаборные сооружения должны быть оборудованы рыбозащитными устройствами, согласованными с Министерством рыбного хозяйства СССР.</w:t>
      </w:r>
    </w:p>
    <w:p w:rsidR="00000000" w:rsidRDefault="003835E5">
      <w:pPr>
        <w:ind w:firstLine="284"/>
        <w:jc w:val="both"/>
      </w:pPr>
      <w:r>
        <w:t xml:space="preserve">2.3. Места размещения емкостей для хранения горючесмазочных материалов, бурового раствора, сбора производственных и бытовых отходов, сточных вод и шлама должны быть обвалованы и гидроизолированы до начала </w:t>
      </w:r>
      <w:r>
        <w:t>буровых работ.</w:t>
      </w:r>
    </w:p>
    <w:p w:rsidR="00000000" w:rsidRDefault="003835E5">
      <w:pPr>
        <w:ind w:firstLine="284"/>
        <w:jc w:val="both"/>
      </w:pPr>
      <w:r>
        <w:t>2.4. В заболоченных и периодически затопляемых местностях материалы, оборудование, механизмы и емкости для сбора производственных и бытовых отходов, сточных вод, бурового раствора и шлама должны размещаться на платформах и площадках.</w:t>
      </w:r>
    </w:p>
    <w:p w:rsidR="00000000" w:rsidRDefault="003835E5">
      <w:pPr>
        <w:ind w:firstLine="284"/>
        <w:jc w:val="both"/>
      </w:pPr>
      <w:r>
        <w:t>При этом отметки платформ и площадок должны быть выше максимального уровня подъема паводковых вод для данной местности.</w:t>
      </w:r>
    </w:p>
    <w:p w:rsidR="00000000" w:rsidRDefault="003835E5">
      <w:pPr>
        <w:ind w:firstLine="284"/>
        <w:jc w:val="both"/>
      </w:pPr>
      <w:r>
        <w:t>2.5. Сыпучие материалы и химические реагенты должны храниться в закрытых помещениях или на огражденных площадках, возвышающихся над уровнем зем</w:t>
      </w:r>
      <w:r>
        <w:t>ли, с гидроизолированным настилом и снабженных навесом.</w:t>
      </w:r>
    </w:p>
    <w:p w:rsidR="00000000" w:rsidRDefault="003835E5">
      <w:pPr>
        <w:ind w:firstLine="284"/>
        <w:jc w:val="both"/>
      </w:pPr>
      <w:r>
        <w:t>Хранение бурового раствора осуществляют в емкостях, исключающих его утечку.</w:t>
      </w:r>
    </w:p>
    <w:p w:rsidR="00000000" w:rsidRDefault="003835E5">
      <w:pPr>
        <w:ind w:firstLine="284"/>
        <w:jc w:val="both"/>
      </w:pPr>
      <w:r>
        <w:t>2.6. Дозировку химических реагентов производят только в специально оборудованных местах, исключающих попадание их в почву и водные объекты.</w:t>
      </w:r>
    </w:p>
    <w:p w:rsidR="00000000" w:rsidRDefault="003835E5">
      <w:pPr>
        <w:ind w:firstLine="284"/>
        <w:jc w:val="both"/>
      </w:pPr>
      <w:r>
        <w:lastRenderedPageBreak/>
        <w:t>2.7. Бурение и освоение скважин на нефть и газ производят с соблюдением требований единых технических правил ведения работ при строительстве скважин и правил охраны поверхностных и подземных вод, утвержденных в установленном порядке.</w:t>
      </w:r>
    </w:p>
    <w:p w:rsidR="00000000" w:rsidRDefault="003835E5">
      <w:pPr>
        <w:ind w:firstLine="284"/>
        <w:jc w:val="both"/>
      </w:pPr>
      <w:r>
        <w:t>2.8. Н</w:t>
      </w:r>
      <w:r>
        <w:t>а месторождениях, содержащих пласты с агрессивными средами (сероводород, углекислый газ, растворы солей и т. п.), должны применяться обсадные трубы в антикоррозийном исполнении.</w:t>
      </w:r>
    </w:p>
    <w:p w:rsidR="00000000" w:rsidRDefault="003835E5">
      <w:pPr>
        <w:ind w:firstLine="284"/>
        <w:jc w:val="both"/>
      </w:pPr>
    </w:p>
    <w:p w:rsidR="00000000" w:rsidRDefault="003835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ОХРАНЫ ВОД ПРИ ДОБЫЧЕ НЕФТИ И ГАЗА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3.1. При наличии опасности межпластовых перетоков нефти, газа и воды не допускается проведение мероприятий по интенсификации добычи нефти и газа.</w:t>
      </w:r>
    </w:p>
    <w:p w:rsidR="00000000" w:rsidRDefault="003835E5">
      <w:pPr>
        <w:ind w:firstLine="284"/>
        <w:jc w:val="both"/>
      </w:pPr>
      <w:r>
        <w:t xml:space="preserve">3.2. При испытании скважин, отремонтированных участков трубопроводов, а также при испытании и эксплуатации аппаратов очистки и осушки газа, </w:t>
      </w:r>
      <w:r>
        <w:t>конденсат и продукты отложения должны собираться в закрытые емкости.</w:t>
      </w:r>
    </w:p>
    <w:p w:rsidR="00000000" w:rsidRDefault="003835E5">
      <w:pPr>
        <w:ind w:firstLine="284"/>
        <w:jc w:val="both"/>
      </w:pPr>
      <w:r>
        <w:t>3.3. В системах сбора и подготовки нефти, газа и воды следует применять блочные установки.</w:t>
      </w:r>
    </w:p>
    <w:p w:rsidR="00000000" w:rsidRDefault="003835E5">
      <w:pPr>
        <w:ind w:firstLine="284"/>
        <w:jc w:val="both"/>
      </w:pPr>
      <w:r>
        <w:t>3.4. Транспортирование вспомогательных материалов и нагнетаемых в нефтяной пласт растворов должно производиться в закрытой таре или емкостях, исключающих их утечку.</w:t>
      </w:r>
    </w:p>
    <w:p w:rsidR="00000000" w:rsidRDefault="003835E5">
      <w:pPr>
        <w:ind w:firstLine="284"/>
        <w:jc w:val="both"/>
      </w:pPr>
    </w:p>
    <w:p w:rsidR="00000000" w:rsidRDefault="003835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ПРАВИЛА ОХРАНЫ ВОД ПРИ СБОРЕ, УТИЛИЗАЦИИ (ЛИКВИДАЦИИ) ШЛАМА, ТВЕРДЫХ ОТХОДОВ И СТОЧНЫХ ВОД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4.1. Выбуренный шлам, твердые отходы производства, материалы, непригодные к дальнейшему исп</w:t>
      </w:r>
      <w:r>
        <w:t>ользованию, должны быть вывезены с территории скважины в шламоотвалы и полигоны для промышленного захоронения отходов, места размещения которых и обустройство должны быть согласованы в установленном порядке.</w:t>
      </w:r>
    </w:p>
    <w:p w:rsidR="00000000" w:rsidRDefault="003835E5">
      <w:pPr>
        <w:ind w:firstLine="284"/>
        <w:jc w:val="both"/>
      </w:pPr>
      <w:r>
        <w:t xml:space="preserve">В районах, где невозможна организация таких мест, следует предусмотреть меры по нейтрализации, утилизации и ликвидации сточных вод, шламов и отходов на территории скважины (использование их в качестве основы для приготовления материалов для крепления скважины или материалов для изоляции зон поглощения, </w:t>
      </w:r>
      <w:r>
        <w:t>применение реагентов-отвердителей, сбор в емкости для использования в дорожном строительстве или других целей).</w:t>
      </w:r>
    </w:p>
    <w:p w:rsidR="00000000" w:rsidRDefault="003835E5">
      <w:pPr>
        <w:ind w:firstLine="284"/>
        <w:jc w:val="both"/>
      </w:pPr>
      <w:r>
        <w:t>4.2. Отобранные горючесмазочные материалы должны быть собраны и отправлены на регенерацию.</w:t>
      </w:r>
    </w:p>
    <w:p w:rsidR="00000000" w:rsidRDefault="003835E5">
      <w:pPr>
        <w:ind w:firstLine="284"/>
        <w:jc w:val="both"/>
      </w:pPr>
    </w:p>
    <w:p w:rsidR="00000000" w:rsidRDefault="003835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ПРАВИЛА ОХРАНЫ ВОД ПРИ УСТРАНЕНИИ ПОСЛЕДСТВИЙ НЕФТЕГАЗОВОГО ВЫБРОСА И ОТКРЫТОГО ФОНТАНИРОВАНИЯ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5.1. При разливе нефти на поверхности земли или попадания ее в водный объект в результате нефтегазового выброса, открытого фонтанирования скважины или аварии трубопровода необходимо сообщить об этом органам, о</w:t>
      </w:r>
      <w:r>
        <w:t>существляющим государственный контроль за состоянием водных объектов, в течение не более трех часов с момента обнаружения, прекратить забор поверхностных и подземных вод для питьевого водоснабжения и принять меры, обеспечивающие предотвращение дальнейшего распространения загрязнения.</w:t>
      </w:r>
    </w:p>
    <w:p w:rsidR="00000000" w:rsidRDefault="003835E5">
      <w:pPr>
        <w:ind w:firstLine="284"/>
        <w:jc w:val="both"/>
      </w:pPr>
      <w:r>
        <w:t>5.2. Разлившаяся на поверхности водного объекта нефть должна быть локализована, собрана техническими средствами и способами, безвредными для обитателей водных объектов и не оказывающими вредного влияния на условия санитарно-быт</w:t>
      </w:r>
      <w:r>
        <w:t>ового водоснабжения, и отправлена на установки подготовки нефти или на очистные сооружения.</w:t>
      </w:r>
    </w:p>
    <w:p w:rsidR="00000000" w:rsidRDefault="003835E5">
      <w:pPr>
        <w:ind w:firstLine="284"/>
        <w:jc w:val="both"/>
      </w:pPr>
      <w:r>
        <w:t>5.3. На загрязненном участке земли должны быть проведены работы по сбору или нейтрализации загрязнения с последующей рекультивацией земли в соответствии с ГОСТ 17.5.3.04-83.</w:t>
      </w:r>
    </w:p>
    <w:p w:rsidR="00000000" w:rsidRDefault="003835E5">
      <w:pPr>
        <w:ind w:firstLine="284"/>
        <w:jc w:val="both"/>
      </w:pPr>
      <w:r>
        <w:t>При нарушении обваловки и гидроизоляции участков (п. 2.3) они должны быть восстановлены.</w:t>
      </w:r>
    </w:p>
    <w:p w:rsidR="00000000" w:rsidRDefault="003835E5">
      <w:pPr>
        <w:ind w:firstLine="284"/>
        <w:jc w:val="both"/>
      </w:pPr>
    </w:p>
    <w:p w:rsidR="00000000" w:rsidRDefault="003835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ПРАВИЛА КОНТРОЛЯ КАЧЕСТВА ПОВЕРХНОСТНЫХ И ПОДЗЕМНЫХ ВОД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6.1. Правила контроля качества поверхностных вод</w:t>
      </w:r>
    </w:p>
    <w:p w:rsidR="00000000" w:rsidRDefault="003835E5">
      <w:pPr>
        <w:ind w:firstLine="284"/>
        <w:jc w:val="both"/>
      </w:pPr>
      <w:r>
        <w:t>6.1.1. На водоемах пункт контроля качества воды</w:t>
      </w:r>
      <w:r>
        <w:t xml:space="preserve"> (далее - пункт контроля) должен быть установлен у берега со стороны очага возможного загрязнения.</w:t>
      </w:r>
    </w:p>
    <w:p w:rsidR="00000000" w:rsidRDefault="003835E5">
      <w:pPr>
        <w:ind w:firstLine="284"/>
        <w:jc w:val="both"/>
      </w:pPr>
      <w:r>
        <w:t>6.1.2. На водотоках должно быть не менее двух пунктов контроля - выше и ниже границы очага возможного загрязнения.</w:t>
      </w:r>
    </w:p>
    <w:p w:rsidR="00000000" w:rsidRDefault="003835E5">
      <w:pPr>
        <w:ind w:firstLine="284"/>
        <w:jc w:val="both"/>
      </w:pPr>
      <w:r>
        <w:t>Если водоток берет начало за пределами месторождения и пересекает его, то пункты контроля располагают до границы очага возможного загрязнения и за его пределами.</w:t>
      </w:r>
    </w:p>
    <w:p w:rsidR="00000000" w:rsidRDefault="003835E5">
      <w:pPr>
        <w:ind w:firstLine="284"/>
        <w:jc w:val="both"/>
      </w:pPr>
      <w:r>
        <w:t xml:space="preserve">Если исток водотока находится в пределах площади месторождения, то пункты контроля располагают у истока и ниже границы очага возможного </w:t>
      </w:r>
      <w:r>
        <w:t>загрязнения.</w:t>
      </w:r>
    </w:p>
    <w:p w:rsidR="00000000" w:rsidRDefault="003835E5">
      <w:pPr>
        <w:ind w:firstLine="284"/>
        <w:jc w:val="both"/>
      </w:pPr>
      <w:r>
        <w:t>Если исток водотока находится за пределами месторождения и впадает в основное русло на территории месторождения, то пункты контроля располагают выше границы очага возможного загрязнения и на устье водотока.</w:t>
      </w:r>
    </w:p>
    <w:p w:rsidR="00000000" w:rsidRDefault="003835E5">
      <w:pPr>
        <w:ind w:firstLine="284"/>
        <w:jc w:val="both"/>
      </w:pPr>
      <w:r>
        <w:t>6.1.3. Контроль качества вод в пунктах контроля, входящих в Общегосударственную службу наблюдений и контроля за загрязненностью объектов природной среды (ОГСНК), осуществляют по ГОСТ 17.1.3.07-82, в пунктах контроля, не входящих в ОГСНК - по программам, согласованным с соответствующими орган</w:t>
      </w:r>
      <w:r>
        <w:t>ами государственного контроля за состоянием и качеством вод.</w:t>
      </w:r>
    </w:p>
    <w:p w:rsidR="00000000" w:rsidRDefault="003835E5">
      <w:pPr>
        <w:ind w:firstLine="284"/>
        <w:jc w:val="both"/>
      </w:pPr>
      <w:r>
        <w:t>6.2. Правила контроля качества подземных вод</w:t>
      </w:r>
    </w:p>
    <w:p w:rsidR="00000000" w:rsidRDefault="003835E5">
      <w:pPr>
        <w:ind w:firstLine="284"/>
        <w:jc w:val="both"/>
      </w:pPr>
      <w:r>
        <w:t>6.2.1. Пунктами контроля подземных вод могут быть колодцы, родники или специально пробуренные наблюдательные скважины, которые располагают по трем условным санитарно-защитным зонам в направлении движения подземных пресных вод (рекомендуемое приложение к настоящему стандарту).</w:t>
      </w:r>
    </w:p>
    <w:p w:rsidR="00000000" w:rsidRDefault="003835E5">
      <w:pPr>
        <w:ind w:firstLine="284"/>
        <w:jc w:val="both"/>
      </w:pPr>
      <w:r>
        <w:t>6.2.2. Контроль качества подземных вод осуществляется в соответствии с требованиями положения об охране подземных вод, утвержденн</w:t>
      </w:r>
      <w:r>
        <w:t>ого Министерством здравоохранения СССР, Министерством геологии СССР и Министерством мелиорации и водного хозяйства СССР.</w:t>
      </w:r>
    </w:p>
    <w:p w:rsidR="00000000" w:rsidRDefault="003835E5">
      <w:pPr>
        <w:ind w:firstLine="284"/>
        <w:jc w:val="both"/>
      </w:pPr>
      <w:r>
        <w:t>6.2.3. При анализе качества подземных вод проводят регулярные лабораторные определения химического состава вод, их пластового давления, наличие загрязнения нефтью, нефтепродуктами и химическими реагентами, применяемыми в процессе разработки нефтяных и газовых месторождений, определение места поступления воды в скважину путем пробных откачек с отбором проб.</w:t>
      </w:r>
    </w:p>
    <w:p w:rsidR="00000000" w:rsidRDefault="003835E5">
      <w:pPr>
        <w:ind w:firstLine="284"/>
        <w:jc w:val="both"/>
      </w:pPr>
      <w:r>
        <w:t>6.2.4. При выявлении загрязнения</w:t>
      </w:r>
      <w:r>
        <w:t xml:space="preserve"> подземных вод пробы воды из пунктов контроля отбирают сразу после обнаружения загрязнения, затем через 10, 30, 60 дней. Допускается проводить более частые интервалы отбора проб.</w:t>
      </w:r>
    </w:p>
    <w:p w:rsidR="00000000" w:rsidRDefault="003835E5">
      <w:pPr>
        <w:ind w:firstLine="284"/>
        <w:jc w:val="both"/>
      </w:pPr>
      <w:r>
        <w:t>6.3. Определение нефтепродуктов в природных и сточных водах по ГОСТ 17.1.4.01-80.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right"/>
      </w:pPr>
      <w:r>
        <w:t>ПРИЛОЖЕНИЕ</w:t>
      </w:r>
    </w:p>
    <w:p w:rsidR="00000000" w:rsidRDefault="003835E5">
      <w:pPr>
        <w:pStyle w:val="1"/>
      </w:pPr>
      <w:r>
        <w:t>Рекомендуемое</w:t>
      </w:r>
    </w:p>
    <w:p w:rsidR="00000000" w:rsidRDefault="003835E5">
      <w:pPr>
        <w:jc w:val="right"/>
      </w:pPr>
    </w:p>
    <w:p w:rsidR="00000000" w:rsidRDefault="003835E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КОЛИЧЕСТВА НАБЛЮДАТЕЛЬНЫХ СКВАЖИН</w: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</w:pPr>
      <w:r>
        <w:t>1. За первую санитарно-защитную зону условно принимается зона очага возможного загрязнения.</w:t>
      </w:r>
    </w:p>
    <w:p w:rsidR="00000000" w:rsidRDefault="003835E5">
      <w:pPr>
        <w:ind w:firstLine="284"/>
        <w:jc w:val="both"/>
      </w:pPr>
      <w:r>
        <w:t>Граница второй санитарно-защитной зоны условно проводится в трех-пяти километрах от очага</w:t>
      </w:r>
      <w:r>
        <w:t xml:space="preserve"> возможного загрязнения в зависимости от скорости течения естественного подземного потока (при большей скорости - большее расстояние).</w:t>
      </w:r>
    </w:p>
    <w:p w:rsidR="00000000" w:rsidRDefault="003835E5">
      <w:pPr>
        <w:ind w:firstLine="284"/>
        <w:jc w:val="both"/>
      </w:pPr>
      <w:r>
        <w:t>Границей третьей санитарно-защитной зоны является линия разгрузки (водоем или водоток). При расположении линии разгрузки на расстоянии не более 3000 м от очага возможного загрязнения количество санитарно-защитных зон сокращается.</w:t>
      </w:r>
    </w:p>
    <w:p w:rsidR="00000000" w:rsidRDefault="003835E5">
      <w:pPr>
        <w:ind w:firstLine="284"/>
        <w:jc w:val="both"/>
        <w:rPr>
          <w:lang w:val="en-US"/>
        </w:rPr>
      </w:pPr>
      <w:r>
        <w:t xml:space="preserve">2. Количество наблюдательных скважин </w:t>
      </w:r>
      <w:r>
        <w:rPr>
          <w:i/>
          <w:lang w:val="en-US"/>
        </w:rPr>
        <w:t>n</w:t>
      </w:r>
      <w:r>
        <w:t>, шт., для каждой условной санитарно-защитной зоны вычисляют по формуле</w:t>
      </w:r>
    </w:p>
    <w:p w:rsidR="00000000" w:rsidRDefault="003835E5">
      <w:pPr>
        <w:ind w:firstLine="284"/>
        <w:jc w:val="center"/>
        <w:rPr>
          <w:lang w:val="en-US"/>
        </w:rPr>
      </w:pPr>
      <w:r>
        <w:rPr>
          <w:position w:val="-24"/>
          <w:lang w:val="en-US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.75pt" o:ole="">
            <v:imagedata r:id="rId4" o:title=""/>
          </v:shape>
          <o:OLEObject Type="Embed" ProgID="Equation.3" ShapeID="_x0000_i1025" DrawAspect="Content" ObjectID="_1427203453" r:id="rId5"/>
        </w:object>
      </w:r>
    </w:p>
    <w:p w:rsidR="00000000" w:rsidRDefault="003835E5">
      <w:pPr>
        <w:ind w:firstLine="284"/>
        <w:jc w:val="both"/>
      </w:pPr>
    </w:p>
    <w:p w:rsidR="00000000" w:rsidRDefault="003835E5">
      <w:pPr>
        <w:ind w:firstLine="284"/>
        <w:jc w:val="both"/>
        <w:rPr>
          <w:lang w:val="en-US"/>
        </w:rPr>
      </w:pPr>
      <w:r>
        <w:t xml:space="preserve">где </w:t>
      </w:r>
      <w:r>
        <w:rPr>
          <w:i/>
          <w:lang w:val="en-US"/>
        </w:rPr>
        <w:t>l</w:t>
      </w:r>
      <w:r>
        <w:t xml:space="preserve"> - ширина </w:t>
      </w:r>
      <w:r>
        <w:t>фронта возможного загрязнения потока, м;</w:t>
      </w:r>
    </w:p>
    <w:p w:rsidR="00000000" w:rsidRDefault="003835E5">
      <w:pPr>
        <w:ind w:firstLine="284"/>
        <w:jc w:val="both"/>
      </w:pPr>
      <w:r>
        <w:sym w:font="Symbol" w:char="F044"/>
      </w:r>
      <w:r>
        <w:rPr>
          <w:i/>
          <w:lang w:val="en-US"/>
        </w:rPr>
        <w:t>l</w:t>
      </w:r>
      <w:r>
        <w:t xml:space="preserve"> - расстояние между скважинами, м.</w:t>
      </w:r>
    </w:p>
    <w:p w:rsidR="00000000" w:rsidRDefault="003835E5">
      <w:pPr>
        <w:ind w:firstLine="284"/>
        <w:jc w:val="both"/>
      </w:pPr>
      <w:r>
        <w:t>Во второй и третьей санитарно-защитных зонах необходимо пробурить дополнительно по одной скважине по краям очага возможного загрязнения.</w:t>
      </w:r>
    </w:p>
    <w:p w:rsidR="00000000" w:rsidRDefault="003835E5">
      <w:pPr>
        <w:ind w:firstLine="284"/>
        <w:jc w:val="both"/>
        <w:rPr>
          <w:lang w:val="en-US"/>
        </w:rPr>
      </w:pPr>
      <w:r>
        <w:t xml:space="preserve">3. Расстояние между скважинами </w:t>
      </w:r>
      <w:r>
        <w:sym w:font="Symbol" w:char="F044"/>
      </w:r>
      <w:r>
        <w:rPr>
          <w:i/>
          <w:lang w:val="en-US"/>
        </w:rPr>
        <w:t>l</w:t>
      </w:r>
      <w:r>
        <w:t>, м, одной санитарно-защитной зоны вычисляют по формуле</w:t>
      </w:r>
    </w:p>
    <w:p w:rsidR="00000000" w:rsidRDefault="003835E5">
      <w:pPr>
        <w:ind w:firstLine="284"/>
        <w:jc w:val="center"/>
      </w:pPr>
      <w:r>
        <w:rPr>
          <w:position w:val="-30"/>
        </w:rPr>
        <w:object w:dxaOrig="1960" w:dyaOrig="720">
          <v:shape id="_x0000_i1026" type="#_x0000_t75" style="width:98.25pt;height:36pt" o:ole="">
            <v:imagedata r:id="rId6" o:title=""/>
          </v:shape>
          <o:OLEObject Type="Embed" ProgID="Equation.3" ShapeID="_x0000_i1026" DrawAspect="Content" ObjectID="_1427203454" r:id="rId7"/>
        </w:object>
      </w:r>
    </w:p>
    <w:p w:rsidR="00000000" w:rsidRDefault="003835E5">
      <w:pPr>
        <w:ind w:firstLine="284"/>
        <w:rPr>
          <w:lang w:val="en-US"/>
        </w:rPr>
      </w:pPr>
    </w:p>
    <w:p w:rsidR="00000000" w:rsidRDefault="003835E5">
      <w:pPr>
        <w:ind w:firstLine="284"/>
        <w:jc w:val="both"/>
      </w:pPr>
      <w:r>
        <w:t xml:space="preserve">где 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y</w:t>
      </w:r>
      <w:r>
        <w:t xml:space="preserve"> - минерализация загрязненных вод, мг/дм</w:t>
      </w:r>
      <w:r>
        <w:rPr>
          <w:vertAlign w:val="superscript"/>
          <w:lang w:val="en-US"/>
        </w:rPr>
        <w:t>3</w:t>
      </w:r>
      <w:r>
        <w:t>;</w:t>
      </w:r>
    </w:p>
    <w:p w:rsidR="00000000" w:rsidRDefault="003835E5">
      <w:pPr>
        <w:ind w:firstLine="284"/>
        <w:jc w:val="both"/>
      </w:pP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0</w:t>
      </w:r>
      <w:r>
        <w:t xml:space="preserve"> - минерализация пресных вод, мг/дм</w:t>
      </w:r>
      <w:r>
        <w:rPr>
          <w:vertAlign w:val="superscript"/>
          <w:lang w:val="en-US"/>
        </w:rPr>
        <w:t>3</w:t>
      </w:r>
      <w:r>
        <w:t>;</w:t>
      </w:r>
    </w:p>
    <w:p w:rsidR="00000000" w:rsidRDefault="003835E5">
      <w:pPr>
        <w:ind w:firstLine="284"/>
        <w:jc w:val="both"/>
        <w:rPr>
          <w:lang w:val="en-US"/>
        </w:rPr>
      </w:pP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1</w:t>
      </w:r>
      <w:r>
        <w:t xml:space="preserve"> - средняя минерализация сточных вод, мг/дм</w:t>
      </w:r>
      <w:r>
        <w:rPr>
          <w:vertAlign w:val="superscript"/>
          <w:lang w:val="en-US"/>
        </w:rPr>
        <w:t>3</w:t>
      </w:r>
      <w:r>
        <w:t>;</w:t>
      </w:r>
    </w:p>
    <w:p w:rsidR="00000000" w:rsidRDefault="003835E5">
      <w:pPr>
        <w:ind w:firstLine="284"/>
        <w:jc w:val="both"/>
      </w:pPr>
      <w:r>
        <w:rPr>
          <w:i/>
          <w:lang w:val="en-US"/>
        </w:rPr>
        <w:t>K</w:t>
      </w:r>
      <w:r>
        <w:t xml:space="preserve"> - поправочный коэффициент (</w:t>
      </w:r>
      <w:r>
        <w:rPr>
          <w:i/>
          <w:lang w:val="en-US"/>
        </w:rPr>
        <w:t>K</w:t>
      </w:r>
      <w:r>
        <w:t>=3 в первой санитар</w:t>
      </w:r>
      <w:r>
        <w:t xml:space="preserve">но-защитной зоне, </w:t>
      </w:r>
      <w:r>
        <w:rPr>
          <w:i/>
          <w:lang w:val="en-US"/>
        </w:rPr>
        <w:t>K</w:t>
      </w:r>
      <w:r>
        <w:t>=10 во второй и третьей санитарно-защитных зонах).</w:t>
      </w:r>
    </w:p>
    <w:p w:rsidR="00000000" w:rsidRDefault="003835E5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5E5"/>
    <w:rsid w:val="0038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right"/>
    </w:pPr>
    <w:rPr>
      <w:i/>
    </w:rPr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2035</Words>
  <Characters>11604</Characters>
  <Application>Microsoft Office Word</Application>
  <DocSecurity>0</DocSecurity>
  <Lines>96</Lines>
  <Paragraphs>27</Paragraphs>
  <ScaleCrop>false</ScaleCrop>
  <Company> 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