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20A2D">
      <w:pPr>
        <w:ind w:firstLine="284"/>
        <w:jc w:val="right"/>
      </w:pPr>
      <w:bookmarkStart w:id="0" w:name="_GoBack"/>
      <w:bookmarkEnd w:id="0"/>
      <w:r>
        <w:t>ГОСТ 17.5.3.02-90</w:t>
      </w:r>
    </w:p>
    <w:p w:rsidR="00000000" w:rsidRDefault="00520A2D">
      <w:pPr>
        <w:ind w:firstLine="284"/>
        <w:jc w:val="right"/>
      </w:pPr>
    </w:p>
    <w:p w:rsidR="00000000" w:rsidRDefault="00520A2D">
      <w:pPr>
        <w:ind w:firstLine="284"/>
        <w:jc w:val="right"/>
      </w:pPr>
      <w:r>
        <w:t xml:space="preserve">Группа Т58 </w:t>
      </w: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center"/>
      </w:pPr>
      <w:r>
        <w:t>ГОСУДАРСТВЕННЫЙ СТАНДАРТ СОЮЗА ССР</w:t>
      </w:r>
    </w:p>
    <w:p w:rsidR="00000000" w:rsidRDefault="00520A2D">
      <w:pPr>
        <w:ind w:firstLine="284"/>
        <w:jc w:val="center"/>
      </w:pPr>
    </w:p>
    <w:p w:rsidR="00000000" w:rsidRDefault="00520A2D">
      <w:pPr>
        <w:ind w:firstLine="284"/>
        <w:jc w:val="center"/>
      </w:pPr>
    </w:p>
    <w:p w:rsidR="00000000" w:rsidRDefault="00520A2D">
      <w:pPr>
        <w:ind w:firstLine="284"/>
        <w:jc w:val="center"/>
        <w:rPr>
          <w:b/>
        </w:rPr>
      </w:pPr>
      <w:r>
        <w:rPr>
          <w:b/>
        </w:rPr>
        <w:t>ОХРАНА ПРИРОДЫ.</w:t>
      </w:r>
    </w:p>
    <w:p w:rsidR="00000000" w:rsidRDefault="00520A2D">
      <w:pPr>
        <w:ind w:firstLine="284"/>
        <w:jc w:val="center"/>
        <w:rPr>
          <w:b/>
        </w:rPr>
      </w:pPr>
      <w:r>
        <w:rPr>
          <w:b/>
        </w:rPr>
        <w:t>Земли.</w:t>
      </w:r>
    </w:p>
    <w:p w:rsidR="00000000" w:rsidRDefault="00520A2D">
      <w:pPr>
        <w:ind w:firstLine="284"/>
        <w:jc w:val="center"/>
        <w:rPr>
          <w:b/>
        </w:rPr>
      </w:pPr>
      <w:r>
        <w:rPr>
          <w:b/>
        </w:rPr>
        <w:t>Нормы выделения на землях государственного</w:t>
      </w:r>
    </w:p>
    <w:p w:rsidR="00000000" w:rsidRDefault="00520A2D">
      <w:pPr>
        <w:ind w:firstLine="284"/>
        <w:jc w:val="center"/>
        <w:rPr>
          <w:b/>
        </w:rPr>
      </w:pPr>
      <w:r>
        <w:rPr>
          <w:b/>
        </w:rPr>
        <w:t>лесного фонда защитных полос лесов вдоль</w:t>
      </w:r>
    </w:p>
    <w:p w:rsidR="00000000" w:rsidRDefault="00520A2D">
      <w:pPr>
        <w:ind w:firstLine="284"/>
        <w:jc w:val="center"/>
        <w:rPr>
          <w:b/>
        </w:rPr>
      </w:pPr>
      <w:r>
        <w:rPr>
          <w:b/>
        </w:rPr>
        <w:t>железных и автомобильных дорог</w:t>
      </w:r>
    </w:p>
    <w:p w:rsidR="00000000" w:rsidRDefault="00520A2D">
      <w:pPr>
        <w:ind w:firstLine="284"/>
        <w:jc w:val="center"/>
      </w:pPr>
    </w:p>
    <w:p w:rsidR="00000000" w:rsidRDefault="00520A2D">
      <w:pPr>
        <w:ind w:firstLine="284"/>
        <w:jc w:val="center"/>
      </w:pPr>
      <w:proofErr w:type="spellStart"/>
      <w:r>
        <w:t>Nature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. </w:t>
      </w:r>
      <w:proofErr w:type="spellStart"/>
      <w:r>
        <w:t>Lands</w:t>
      </w:r>
      <w:proofErr w:type="spellEnd"/>
      <w:r>
        <w:t xml:space="preserve">. </w:t>
      </w:r>
      <w:proofErr w:type="spellStart"/>
      <w:r>
        <w:t>Rates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shelter</w:t>
      </w:r>
      <w:proofErr w:type="spellEnd"/>
    </w:p>
    <w:p w:rsidR="00000000" w:rsidRDefault="00520A2D">
      <w:pPr>
        <w:ind w:firstLine="284"/>
        <w:jc w:val="center"/>
      </w:pPr>
      <w:proofErr w:type="spellStart"/>
      <w:r>
        <w:t>belt</w:t>
      </w:r>
      <w:r>
        <w:t>s</w:t>
      </w:r>
      <w:proofErr w:type="spellEnd"/>
      <w:r>
        <w:t xml:space="preserve"> </w:t>
      </w:r>
      <w:proofErr w:type="spellStart"/>
      <w:r>
        <w:t>allotment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railroads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highways</w:t>
      </w:r>
      <w:proofErr w:type="spellEnd"/>
    </w:p>
    <w:p w:rsidR="00000000" w:rsidRDefault="00520A2D">
      <w:pPr>
        <w:ind w:firstLine="284"/>
        <w:jc w:val="center"/>
      </w:pPr>
      <w:proofErr w:type="spellStart"/>
      <w:r>
        <w:t>on</w:t>
      </w:r>
      <w:proofErr w:type="spellEnd"/>
      <w:r>
        <w:t xml:space="preserve"> </w:t>
      </w:r>
      <w:proofErr w:type="spellStart"/>
      <w:r>
        <w:t>lands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reserves</w:t>
      </w:r>
      <w:proofErr w:type="spellEnd"/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  <w:proofErr w:type="spellStart"/>
      <w:r>
        <w:t>ОКСТУ</w:t>
      </w:r>
      <w:proofErr w:type="spellEnd"/>
      <w:r>
        <w:t xml:space="preserve"> 2209 </w:t>
      </w:r>
    </w:p>
    <w:p w:rsidR="00000000" w:rsidRDefault="00520A2D">
      <w:pPr>
        <w:ind w:firstLine="284"/>
        <w:jc w:val="right"/>
      </w:pPr>
      <w:r>
        <w:t>Дата введения 1991-01-01</w:t>
      </w: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center"/>
      </w:pPr>
      <w:r>
        <w:t>ИНФОРМАЦИОННЫЕ ДАННЫЕ</w:t>
      </w: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  <w:r>
        <w:t>1. РАЗРАБОТАН И ВНЕСЕН Государственным комитетом СССР по лесу</w:t>
      </w: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  <w:r>
        <w:t>РАЗРАБОТЧИКИ</w:t>
      </w: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  <w:r>
        <w:t xml:space="preserve">С.И. Никитин (руководитель темы); Д.Д. </w:t>
      </w:r>
      <w:proofErr w:type="spellStart"/>
      <w:r>
        <w:t>Любич</w:t>
      </w:r>
      <w:proofErr w:type="spellEnd"/>
      <w:r>
        <w:t xml:space="preserve">; Н.Т. </w:t>
      </w:r>
      <w:proofErr w:type="spellStart"/>
      <w:r>
        <w:t>Макарычев</w:t>
      </w:r>
      <w:proofErr w:type="spellEnd"/>
      <w:r>
        <w:t>; В.Д. Казанский</w:t>
      </w: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  <w:r>
        <w:t xml:space="preserve">2. УТВЕРЖДЕН И ВВЕДЕН в действие Постановлением государственного комитета СССР по охране природы от 03.07.90 </w:t>
      </w:r>
      <w:proofErr w:type="spellStart"/>
      <w:r>
        <w:t>N</w:t>
      </w:r>
      <w:proofErr w:type="spellEnd"/>
      <w:r>
        <w:t xml:space="preserve"> 26</w:t>
      </w: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  <w:r>
        <w:t>3. ВЗАМЕН ГОСТ 17.5.3.02-79</w:t>
      </w: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  <w:r>
        <w:t>4. Ссылочные нормативно-технические документы</w:t>
      </w: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20A2D">
            <w:pPr>
              <w:ind w:firstLine="284"/>
              <w:jc w:val="both"/>
            </w:pPr>
            <w:r>
              <w:t xml:space="preserve">Обозначение </w:t>
            </w:r>
            <w:proofErr w:type="spellStart"/>
            <w:r>
              <w:t>НТД</w:t>
            </w:r>
            <w:proofErr w:type="spellEnd"/>
            <w:r>
              <w:t>, на котор</w:t>
            </w:r>
            <w:r>
              <w:t>ый дана ссылка</w:t>
            </w:r>
          </w:p>
        </w:tc>
        <w:tc>
          <w:tcPr>
            <w:tcW w:w="4264" w:type="dxa"/>
          </w:tcPr>
          <w:p w:rsidR="00000000" w:rsidRDefault="00520A2D">
            <w:pPr>
              <w:ind w:firstLine="284"/>
              <w:jc w:val="both"/>
            </w:pPr>
            <w:r>
              <w:t>Номер пункта, подпункта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20A2D">
            <w:pPr>
              <w:ind w:firstLine="284"/>
              <w:jc w:val="both"/>
            </w:pPr>
            <w:r>
              <w:t>ОСТ 56-44-80</w:t>
            </w:r>
          </w:p>
        </w:tc>
        <w:tc>
          <w:tcPr>
            <w:tcW w:w="4264" w:type="dxa"/>
          </w:tcPr>
          <w:p w:rsidR="00000000" w:rsidRDefault="00520A2D">
            <w:pPr>
              <w:ind w:firstLine="284"/>
              <w:jc w:val="both"/>
            </w:pPr>
            <w:r>
              <w:t>11</w:t>
            </w:r>
          </w:p>
        </w:tc>
      </w:tr>
    </w:tbl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  <w:r>
        <w:t>1. Настоящий стандарт устанавливает нормы выделения на землях единого государственного лесного фонда защитных полос лесов (земель) вдоль железных и автомобильных дорог общегосударственного, республиканского и областного значения.</w:t>
      </w: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  <w:r>
        <w:t>Стандарт применяется при проектировании и строительстве новых, эксплуатации и реконструкции действующих железных и автомобильных дорог и проведении лесоустроительных работ.</w:t>
      </w: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  <w:r>
        <w:t>Термин, применяемый в настоящем стандарте, и по</w:t>
      </w:r>
      <w:r>
        <w:t>яснение к нему приведены в приложении.</w:t>
      </w: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  <w:r>
        <w:t>2. Защитные полосы лесов вдоль железных и автомобильных дорог предназначены для обеспечения защиты от снежных и песчаных заносов, селей, лавин, оползней, обвалов, ветровой и водной эрозии, для ограждения движущегося транспорта от неблагоприятных аэродинамических воздействий, для снижения уровня шума, выполнения санитарно-</w:t>
      </w:r>
      <w:r>
        <w:lastRenderedPageBreak/>
        <w:t>гигиенических, оздоровительных и эстетических функций, для предотвращения загрязнения окружающей среды продуктами деятельности транспорта.</w:t>
      </w: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  <w:r>
        <w:t>3. Защитн</w:t>
      </w:r>
      <w:r>
        <w:t>ые полосы лесов вдоль железных и автомобильных дорог выделяют из общей площади лесов единого государственного лесного фонда и относят к лесам первой группы.</w:t>
      </w: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  <w:r>
        <w:t>4. Защитные полосы лесов вдоль железных и автомобильных дорог выделяют из лесов всех групп и категорий. Не допускается выделение защитных полос лесов вдоль железных и автомобильных дорог из заповедников, национальных и природных парков, заповедных лесных участков, лесов, имеющих научное или историческое значение, природных памятников, лесопарков, лесов</w:t>
      </w:r>
      <w:r>
        <w:t xml:space="preserve"> </w:t>
      </w:r>
      <w:proofErr w:type="spellStart"/>
      <w:r>
        <w:t>орехопромысловых</w:t>
      </w:r>
      <w:proofErr w:type="spellEnd"/>
      <w:r>
        <w:t xml:space="preserve"> зон, лесоплодовых насаждений, городских лесов, лесов лесопарковых частей зеленых зон, лесов санитарной охраны источников водоснабжения и лесов первой и второй зон округов санитарной охраны курортов и особо ценных лесных массивов, запретных полос лесов, защищающих нерестилища ценных промысловых рыб.</w:t>
      </w: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  <w:r>
        <w:t>5. Ведение лесного хозяйства на выделенных вдоль железных и автомобильных дорог полосах лесов осуществляют предприятия лесного хозяйства и другие организации, за которыми закреплены эти леса.</w:t>
      </w: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  <w:r>
        <w:t>6. Защитные полосы лесов (земель) вдоль проектируемых и новостроящихся железных и автомобильных дорог и их перевод в леса первой группы выделяют до начала или с началом строительства дорог, а вдоль эксплуатируемых - во время очередного лесоустройства.</w:t>
      </w: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  <w:r>
        <w:t>7. Ширина защитных полос лесов вдоль железных дорог должна быть не менее 500 м с каждой стороны дороги. Ширина защитных полос лесов вдоль автомобильных дорог должна составлять не менее 250 м с каждой стороны дороги. Допускается уменьшение ширины защитных поло</w:t>
      </w:r>
      <w:r>
        <w:t>с лесов не более чем на 50 м при наличии на местности естественных или искусственных рубежей.</w:t>
      </w: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  <w:r>
        <w:t>8. Ширина защитных полос лесов вдоль железных и автомобильных дорог в зонах пустыни и полупустыни на участках, подверженных песчаным заносам, в районах с вечной мерзлотой, в горных районах, на участках с опасными эрозионными процессами, селевыми потоками, снежными лавинами, в местах, подверженных наводнениям, паводкам, сейсмическим и другим стихийным явлениям, должна быть установлена с учетом обеспечения защиты до</w:t>
      </w:r>
      <w:r>
        <w:t>рог от воздействия неблагоприятных факторов.</w:t>
      </w: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  <w:r>
        <w:t xml:space="preserve">9. На имеющихся в пределах выделенных защитных полос лесов вдоль дорог, не покрытых лесом землях, пригодных для </w:t>
      </w:r>
      <w:proofErr w:type="spellStart"/>
      <w:r>
        <w:t>лесовыращивания</w:t>
      </w:r>
      <w:proofErr w:type="spellEnd"/>
      <w:r>
        <w:t>, должны быть созданы лесные насаждения.</w:t>
      </w: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  <w:r>
        <w:t>10. Ширину защитных полос лесов вдоль дорог исчисляют от границы полосы отвода земель транспорта, но не менее 15 м от основания земляного полотна железной или автомобильной дороги.</w:t>
      </w: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  <w:r>
        <w:t xml:space="preserve">11. Внешние границы защитных полос лесов должны быть привязаны к </w:t>
      </w:r>
      <w:proofErr w:type="spellStart"/>
      <w:r>
        <w:t>легкоопознаваемым</w:t>
      </w:r>
      <w:proofErr w:type="spellEnd"/>
      <w:r>
        <w:t xml:space="preserve"> в натуре естественным и искусств</w:t>
      </w:r>
      <w:r>
        <w:t>енным объектам, рубежам.</w:t>
      </w: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  <w:r>
        <w:t>При ограничении внешних границ защитных полос лесов визирами в местах пересечения их с квартальными просеками и внутриквартальными коммуникациями должны быть установлены указательные столбы в соответствии с ОСТ 56-44.</w:t>
      </w: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  <w:r>
        <w:t>12. В защитных полосах лесов допускаются рубки ухода за лесом, санитарные и лесовосстановительные рубки, направленные на сохранение защитных функций леса.</w:t>
      </w: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  <w:r>
        <w:t>13. Лесовосстановительные рубки применяются в защитных полосах лесов, кроме выделяемых опушек.</w:t>
      </w: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both"/>
      </w:pPr>
      <w:r>
        <w:t>14. Лесовосстан</w:t>
      </w:r>
      <w:r>
        <w:t xml:space="preserve">овительные рубки следует применять с одновременным проведением в обязательном порядке лесовосстановительных работ. При этом должна обеспечиваться непрерывность защитного действия выделенных полос лесов и формирование нового их </w:t>
      </w:r>
      <w:r>
        <w:lastRenderedPageBreak/>
        <w:t>поколения из высокопродуктивных и ценных в хозяйственном отношении древесных и кустарниковых пород.</w:t>
      </w: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right"/>
      </w:pPr>
      <w:r>
        <w:t>Приложение</w:t>
      </w:r>
    </w:p>
    <w:p w:rsidR="00000000" w:rsidRDefault="00520A2D">
      <w:pPr>
        <w:ind w:firstLine="284"/>
        <w:jc w:val="right"/>
      </w:pPr>
      <w:r>
        <w:t>Справочное</w:t>
      </w:r>
    </w:p>
    <w:p w:rsidR="00000000" w:rsidRDefault="00520A2D">
      <w:pPr>
        <w:ind w:firstLine="284"/>
        <w:jc w:val="right"/>
      </w:pPr>
    </w:p>
    <w:p w:rsidR="00000000" w:rsidRDefault="00520A2D">
      <w:pPr>
        <w:ind w:firstLine="284"/>
        <w:jc w:val="both"/>
      </w:pPr>
    </w:p>
    <w:p w:rsidR="00000000" w:rsidRDefault="00520A2D">
      <w:pPr>
        <w:ind w:firstLine="284"/>
        <w:jc w:val="center"/>
      </w:pPr>
      <w:r>
        <w:t>Термин, применяемый в настоящем стандарте,</w:t>
      </w:r>
    </w:p>
    <w:p w:rsidR="00000000" w:rsidRDefault="00520A2D">
      <w:pPr>
        <w:ind w:firstLine="284"/>
        <w:jc w:val="center"/>
      </w:pPr>
      <w:r>
        <w:t>и пояснение к нему</w:t>
      </w:r>
    </w:p>
    <w:p w:rsidR="00000000" w:rsidRDefault="00520A2D">
      <w:pPr>
        <w:ind w:firstLine="284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20A2D">
            <w:pPr>
              <w:ind w:firstLine="284"/>
              <w:jc w:val="center"/>
            </w:pPr>
            <w:r>
              <w:t>Термин</w:t>
            </w:r>
          </w:p>
        </w:tc>
        <w:tc>
          <w:tcPr>
            <w:tcW w:w="4264" w:type="dxa"/>
          </w:tcPr>
          <w:p w:rsidR="00000000" w:rsidRDefault="00520A2D">
            <w:pPr>
              <w:ind w:firstLine="284"/>
              <w:jc w:val="center"/>
            </w:pPr>
            <w:r>
              <w:t>Пояснение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20A2D">
            <w:pPr>
              <w:ind w:firstLine="284"/>
              <w:jc w:val="both"/>
            </w:pPr>
            <w:r>
              <w:t>Земли транспорта</w:t>
            </w:r>
          </w:p>
        </w:tc>
        <w:tc>
          <w:tcPr>
            <w:tcW w:w="4264" w:type="dxa"/>
          </w:tcPr>
          <w:p w:rsidR="00000000" w:rsidRDefault="00520A2D">
            <w:pPr>
              <w:ind w:firstLine="284"/>
              <w:jc w:val="both"/>
            </w:pPr>
            <w:r>
              <w:t>Земли, предоставленные в пользование транспортным организациям</w:t>
            </w:r>
            <w:r>
              <w:t xml:space="preserve"> для осуществления строительства,  содержания, ремонта, усовершенствования  и   развития транспортных объектов  и  обеспечения  их эксплуатации</w:t>
            </w:r>
          </w:p>
        </w:tc>
      </w:tr>
    </w:tbl>
    <w:p w:rsidR="00000000" w:rsidRDefault="00520A2D">
      <w:pPr>
        <w:ind w:firstLine="284"/>
        <w:jc w:val="both"/>
      </w:pPr>
    </w:p>
    <w:sectPr w:rsidR="00000000">
      <w:pgSz w:w="11907" w:h="16840"/>
      <w:pgMar w:top="1440" w:right="1797" w:bottom="1440" w:left="1797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A2D"/>
    <w:rsid w:val="0052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character" w:customStyle="1" w:styleId="aciaoeaHTML">
    <w:name w:val="?aciaoea HTML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4698</Characters>
  <Application>Microsoft Office Word</Application>
  <DocSecurity>0</DocSecurity>
  <Lines>39</Lines>
  <Paragraphs>11</Paragraphs>
  <ScaleCrop>false</ScaleCrop>
  <Company> 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17</dc:title>
  <dc:subject/>
  <dc:creator> Попов </dc:creator>
  <cp:keywords/>
  <dc:description/>
  <cp:lastModifiedBy>Parhomeiai</cp:lastModifiedBy>
  <cp:revision>2</cp:revision>
  <dcterms:created xsi:type="dcterms:W3CDTF">2013-04-11T11:06:00Z</dcterms:created>
  <dcterms:modified xsi:type="dcterms:W3CDTF">2013-04-11T11:06:00Z</dcterms:modified>
</cp:coreProperties>
</file>