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1B70">
      <w:pPr>
        <w:spacing w:line="240" w:lineRule="auto"/>
        <w:ind w:firstLine="284"/>
        <w:jc w:val="right"/>
      </w:pPr>
      <w:bookmarkStart w:id="0" w:name="_GoBack"/>
      <w:bookmarkEnd w:id="0"/>
      <w:r>
        <w:t>ГОСТ</w:t>
      </w:r>
      <w:r>
        <w:rPr>
          <w:lang w:val="en-US"/>
        </w:rPr>
        <w:t xml:space="preserve"> 19330-9</w:t>
      </w:r>
      <w:r>
        <w:t>9</w:t>
      </w:r>
    </w:p>
    <w:p w:rsidR="00000000" w:rsidRDefault="00451B70">
      <w:pPr>
        <w:spacing w:line="240" w:lineRule="auto"/>
        <w:ind w:firstLine="284"/>
        <w:jc w:val="right"/>
      </w:pPr>
    </w:p>
    <w:p w:rsidR="00000000" w:rsidRDefault="00451B70">
      <w:pPr>
        <w:spacing w:line="240" w:lineRule="auto"/>
        <w:ind w:firstLine="284"/>
        <w:jc w:val="center"/>
      </w:pPr>
      <w:r>
        <w:t>УДК 624.012.4.075:006.354                                                                                     Группа Ж33</w:t>
      </w:r>
    </w:p>
    <w:p w:rsidR="00000000" w:rsidRDefault="00451B70">
      <w:pPr>
        <w:pStyle w:val="FR5"/>
        <w:spacing w:before="0"/>
        <w:ind w:left="0" w:firstLine="284"/>
        <w:rPr>
          <w:sz w:val="20"/>
          <w:lang w:val="ru-RU"/>
        </w:rPr>
      </w:pPr>
    </w:p>
    <w:p w:rsidR="00000000" w:rsidRDefault="00451B70">
      <w:pPr>
        <w:pStyle w:val="FR5"/>
        <w:spacing w:before="0"/>
        <w:ind w:left="0" w:firstLine="284"/>
        <w:rPr>
          <w:sz w:val="20"/>
          <w:lang w:val="ru-RU"/>
        </w:rPr>
      </w:pPr>
      <w:r>
        <w:rPr>
          <w:sz w:val="20"/>
          <w:lang w:val="ru-RU"/>
        </w:rPr>
        <w:t>МЕЖГОСУДАРСТВЕННЫЙ СТАНДАРТ</w:t>
      </w:r>
    </w:p>
    <w:p w:rsidR="00000000" w:rsidRDefault="00451B70">
      <w:pPr>
        <w:pStyle w:val="FR5"/>
        <w:spacing w:before="0"/>
        <w:ind w:left="0" w:firstLine="284"/>
        <w:rPr>
          <w:sz w:val="20"/>
          <w:lang w:val="ru-RU"/>
        </w:rPr>
      </w:pPr>
    </w:p>
    <w:p w:rsidR="00000000" w:rsidRDefault="00451B70">
      <w:pPr>
        <w:pStyle w:val="FR5"/>
        <w:spacing w:before="0"/>
        <w:ind w:left="0" w:firstLine="284"/>
        <w:rPr>
          <w:sz w:val="20"/>
        </w:rPr>
      </w:pP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СТОЙКИ ЖЕЛЕЗОБЕТОННЫЕ ДЛЯ ОПОР </w:t>
      </w: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</w:rPr>
        <w:t>КОНТАКТНОЙ СЕТИ ЖЕЛЕЗНЫХ ДОРОГ</w:t>
      </w:r>
    </w:p>
    <w:p w:rsidR="00000000" w:rsidRDefault="00451B70">
      <w:pPr>
        <w:spacing w:line="240" w:lineRule="auto"/>
        <w:ind w:firstLine="284"/>
        <w:jc w:val="center"/>
      </w:pP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451B70">
      <w:pPr>
        <w:spacing w:line="240" w:lineRule="auto"/>
        <w:ind w:firstLine="284"/>
        <w:jc w:val="center"/>
      </w:pP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  <w:lang w:val="en-US"/>
        </w:rPr>
        <w:t>CENT</w:t>
      </w:r>
      <w:r>
        <w:rPr>
          <w:b/>
          <w:lang w:val="en-US"/>
        </w:rPr>
        <w:t xml:space="preserve">RIFUGAL REINFORCED CONCRETE POSTS </w:t>
      </w: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  <w:lang w:val="en-US"/>
        </w:rPr>
        <w:t>FOR RAILWAY OVERHEAD LINE EQUIPMENT</w:t>
      </w:r>
    </w:p>
    <w:p w:rsidR="00000000" w:rsidRDefault="00451B70">
      <w:pPr>
        <w:spacing w:line="240" w:lineRule="auto"/>
        <w:ind w:firstLine="284"/>
        <w:jc w:val="center"/>
      </w:pP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  <w:lang w:val="en-US"/>
        </w:rPr>
        <w:t>Specifications</w:t>
      </w:r>
    </w:p>
    <w:p w:rsidR="00000000" w:rsidRDefault="00451B70">
      <w:pPr>
        <w:spacing w:line="240" w:lineRule="auto"/>
        <w:ind w:firstLine="284"/>
        <w:jc w:val="center"/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ОКС 93.100</w:t>
      </w:r>
    </w:p>
    <w:p w:rsidR="00000000" w:rsidRDefault="00451B70">
      <w:pPr>
        <w:spacing w:line="240" w:lineRule="auto"/>
        <w:ind w:firstLine="284"/>
      </w:pPr>
      <w:r>
        <w:t>ОКСТУ 5863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  <w:rPr>
          <w:i/>
        </w:rPr>
      </w:pPr>
      <w:r>
        <w:rPr>
          <w:i/>
        </w:rPr>
        <w:t>Дата введения 2000-09-01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Предисловие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1 РАЗРАБОТАН Всероссийским научно-исследовательским институтом железнодорожного транспорта (ВНИИЖТ МПС) при участии Научно-исследовательского института транспортного строительства (ЦНИИС) Российской Федерации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ВНЕСЕН Госстроем России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2 ПРИНЯТ Межгосударственной научно-технической комиссией по стандартизации, техническому нормированию и сертификации в строит</w:t>
      </w:r>
      <w:r>
        <w:t>ельстве 20 мая 1999 г.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За принятие проголосовали:</w:t>
      </w:r>
    </w:p>
    <w:p w:rsidR="00000000" w:rsidRDefault="00451B7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Наименование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государства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Наименование органа государственного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Республика Армения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Министерство по координации, территориальному управлению и градостроительной деятельности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Республика Беларусь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Министерство архитектуры и строительства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Республика Казахстан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Комитет по делам строительства Министерства энергетики, индустрии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Кыргызская Республика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 xml:space="preserve">Государственная </w:t>
            </w:r>
            <w:r>
              <w:t>инспекция по архитектуре и строительству при Правительстве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Республика Молдова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Министерство окружающей среды и благоустройства территорий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Российская Федерация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Республика Таджикистан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Комитет по делам архитектуры и строительства при Правительстве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Украина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</w:pPr>
            <w:r>
              <w:t>Государственный комитет строительства, архитектуры и жилищной политики Украины</w:t>
            </w:r>
          </w:p>
        </w:tc>
      </w:tr>
    </w:tbl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3 ВЗАМЕН ГОСТ 19330-91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4 ВВЕДЕН В ДЕЙСТВИЕ с 1 сентября 2000 г. в качестве государственного ст</w:t>
      </w:r>
      <w:r>
        <w:t>андарта Российской Федерации постановлением Госстроя России от 19.05.2000 № 49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Введение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При эксплуатации стоек по ГОСТ 19330—91 на электрифицированных железных дорогах выявилась их недостаточная долговечность, являющаяся следствием электрокоррозии арматуры из-за недостаточной электрической изоляции между закладными деталями контактной подвески и арматурой.</w:t>
      </w:r>
    </w:p>
    <w:p w:rsidR="00000000" w:rsidRDefault="00451B70">
      <w:pPr>
        <w:spacing w:line="240" w:lineRule="auto"/>
        <w:ind w:firstLine="284"/>
      </w:pPr>
      <w:r>
        <w:t>Настоящий стандарт, разработанный взамен ГОСТ 19330—91, распространяется на стойки, конструкция которых предусматривает надежную изоляцию закладных де</w:t>
      </w:r>
      <w:r>
        <w:t>талей, что позволяет повысить их долговечность по сравнению со стойками по ГОСТ 19330—91. Кроме того, эта конструкция более технологична в изготовлении, чем стойки по ГОСТ 19330-91.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1 Область применения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Настоящий стандарт распространяется на железобетонные предварительно напряженные конические стойки кольцевого сечения, изготовленные из тяжелого бетона методом центрифугирования и предназначенные для опор контактной сети, сооружаемых на общей сети железных дорог и на железнодорожных подъездных путях предпр</w:t>
      </w:r>
      <w:r>
        <w:t>иятий в любых климатических условиях.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2 Нормативные ссылки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В настоящем стандарте использованы ссылки на межгосударственные стандарты, перечень которых приведен в приложении А.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3 Основные параметры и размеры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3.1 Стойки следует изготавливать по рабочей и технологической документации, соответствующей требованиям настоящего стандарта.</w:t>
      </w:r>
    </w:p>
    <w:p w:rsidR="00000000" w:rsidRDefault="00451B70">
      <w:pPr>
        <w:spacing w:line="240" w:lineRule="auto"/>
        <w:ind w:firstLine="284"/>
      </w:pPr>
      <w:r>
        <w:t>Допускается по согласованию между заказчиком и изготовителем изготавливать стойки, отличающиеся габаритами и размерами отдельных деталей стоек от приведенных в настоящем станд</w:t>
      </w:r>
      <w:r>
        <w:t>арте, при соблюдении остальных технических требований этого стандарта.</w:t>
      </w:r>
    </w:p>
    <w:p w:rsidR="00000000" w:rsidRDefault="00451B70">
      <w:pPr>
        <w:spacing w:line="240" w:lineRule="auto"/>
        <w:ind w:firstLine="284"/>
      </w:pPr>
      <w:r>
        <w:t>3.2 Стойки подразделяют на типы:</w:t>
      </w:r>
    </w:p>
    <w:p w:rsidR="00000000" w:rsidRDefault="00451B70">
      <w:pPr>
        <w:spacing w:line="240" w:lineRule="auto"/>
        <w:ind w:firstLine="284"/>
      </w:pPr>
      <w:r>
        <w:t>СС — устанавливаемые в фундаменты стаканного типа или закапываемые непосредственно в грунт (нераздельные);</w:t>
      </w:r>
    </w:p>
    <w:p w:rsidR="00000000" w:rsidRDefault="00451B70">
      <w:pPr>
        <w:spacing w:line="240" w:lineRule="auto"/>
        <w:ind w:firstLine="284"/>
      </w:pPr>
      <w:r>
        <w:t>ССА — с болтовым креплением к фундаменту (раздельные).</w:t>
      </w:r>
    </w:p>
    <w:p w:rsidR="00000000" w:rsidRDefault="00451B70">
      <w:pPr>
        <w:spacing w:line="240" w:lineRule="auto"/>
        <w:ind w:firstLine="284"/>
      </w:pPr>
      <w:r>
        <w:t>3.3 Форма и основные размеры стоек должны соответствовать указанным на рисунке 1 и в таблице 1.</w:t>
      </w:r>
    </w:p>
    <w:p w:rsidR="00000000" w:rsidRDefault="00451B70">
      <w:pPr>
        <w:spacing w:line="240" w:lineRule="auto"/>
        <w:ind w:firstLine="284"/>
        <w:jc w:val="right"/>
      </w:pPr>
      <w:r>
        <w:t>Таблица 1</w:t>
      </w:r>
    </w:p>
    <w:p w:rsidR="00000000" w:rsidRDefault="00451B70">
      <w:pPr>
        <w:spacing w:line="240" w:lineRule="auto"/>
        <w:ind w:firstLine="284"/>
        <w:jc w:val="center"/>
      </w:pPr>
      <w:r>
        <w:t>Размеры в миллиметрах</w:t>
      </w:r>
    </w:p>
    <w:p w:rsidR="00000000" w:rsidRDefault="00451B70">
      <w:pPr>
        <w:spacing w:line="240" w:lineRule="auto"/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1134"/>
        <w:gridCol w:w="1068"/>
        <w:gridCol w:w="1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Типоразмер стойки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108.6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450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108.7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800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450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СС136.6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13</w:t>
            </w:r>
            <w:r>
              <w:rPr>
                <w:lang w:val="en-US"/>
              </w:rPr>
              <w:t xml:space="preserve"> </w:t>
            </w:r>
            <w:r>
              <w:t>600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492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136.7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13</w:t>
            </w:r>
            <w:r>
              <w:rPr>
                <w:lang w:val="en-US"/>
              </w:rPr>
              <w:t xml:space="preserve"> </w:t>
            </w:r>
            <w:r>
              <w:t>600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492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156.6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15</w:t>
            </w:r>
            <w:r>
              <w:rPr>
                <w:lang w:val="en-US"/>
              </w:rPr>
              <w:t xml:space="preserve"> </w:t>
            </w:r>
            <w:r>
              <w:t>600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524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СС156.7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15</w:t>
            </w:r>
            <w:r>
              <w:rPr>
                <w:lang w:val="en-US"/>
              </w:rPr>
              <w:t xml:space="preserve"> </w:t>
            </w:r>
            <w:r>
              <w:t>600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524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100.6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435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100.7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435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120.6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465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120.7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465</w:t>
            </w:r>
          </w:p>
        </w:tc>
        <w:tc>
          <w:tcPr>
            <w:tcW w:w="1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84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  <w:p w:rsidR="00000000" w:rsidRDefault="00451B70">
            <w:pPr>
              <w:spacing w:line="240" w:lineRule="auto"/>
              <w:ind w:firstLine="284"/>
              <w:rPr>
                <w:sz w:val="18"/>
              </w:rPr>
            </w:pPr>
            <w:r>
              <w:rPr>
                <w:sz w:val="18"/>
              </w:rPr>
              <w:t>1 Размер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i/>
                <w:sz w:val="18"/>
                <w:lang w:val="en-US"/>
              </w:rPr>
              <w:t>L</w:t>
            </w:r>
            <w:r>
              <w:rPr>
                <w:sz w:val="18"/>
              </w:rPr>
              <w:t xml:space="preserve"> может изменяться в зависимости от конструкции заглушек.</w:t>
            </w:r>
          </w:p>
          <w:p w:rsidR="00000000" w:rsidRDefault="00451B70">
            <w:pPr>
              <w:spacing w:line="240" w:lineRule="auto"/>
              <w:ind w:firstLine="284"/>
            </w:pPr>
            <w:r>
              <w:rPr>
                <w:sz w:val="18"/>
              </w:rPr>
              <w:t xml:space="preserve">2 В таблице: </w:t>
            </w:r>
            <w:r>
              <w:rPr>
                <w:i/>
                <w:sz w:val="18"/>
                <w:lang w:val="en-US"/>
              </w:rPr>
              <w:t>t</w:t>
            </w:r>
            <w:r>
              <w:rPr>
                <w:sz w:val="18"/>
              </w:rPr>
              <w:t xml:space="preserve"> — толщина стенки стойки; </w:t>
            </w:r>
            <w:r>
              <w:rPr>
                <w:i/>
                <w:sz w:val="18"/>
                <w:lang w:val="en-US"/>
              </w:rPr>
              <w:t>l</w:t>
            </w:r>
            <w:r>
              <w:rPr>
                <w:sz w:val="18"/>
                <w:vertAlign w:val="subscript"/>
              </w:rPr>
              <w:t>ц</w:t>
            </w:r>
            <w:r>
              <w:rPr>
                <w:sz w:val="18"/>
              </w:rPr>
              <w:t xml:space="preserve"> - высота центра тяжести стойки.</w:t>
            </w:r>
          </w:p>
        </w:tc>
      </w:tr>
    </w:tbl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 xml:space="preserve">3.4 Основные показатели стоек указаны в таблице 2. 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</w:pPr>
      <w:r>
        <w:lastRenderedPageBreak/>
        <w:t>Таблица 2</w:t>
      </w:r>
    </w:p>
    <w:p w:rsidR="00000000" w:rsidRDefault="00451B7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985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Марка стойки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Нормативный изгибающий момент, кН</w:t>
            </w:r>
            <w:r>
              <w:sym w:font="Symbol" w:char="F0D7"/>
            </w:r>
            <w:r>
              <w:t>м (тс</w:t>
            </w:r>
            <w:r>
              <w:sym w:font="Symbol" w:char="F0D7"/>
            </w:r>
            <w:r>
              <w:t>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Класс бетона по прочности на сжатие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Масса стойки,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108.6-2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59 (6,0)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108.6-3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79 (8,0)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108.7-4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98 (10,0)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136.6-2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59 (6,0)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136.6-3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79 (8,0)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136.7-4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98 (10,0)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156.6-5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49 (5,0)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156.6-6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66 (6,7)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В30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156.6-7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88 (9,0)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 156.7-8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111 (11,3)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100.6-3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79 (8,0)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100.7-4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98 (10,0)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120.6-3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79 (8,0)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44"/>
              <w:jc w:val="left"/>
            </w:pPr>
            <w:r>
              <w:t>ССА 120.7-4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98 (10,0)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284"/>
            </w:pPr>
            <w:r>
              <w:rPr>
                <w:b/>
                <w:i/>
              </w:rPr>
              <w:t xml:space="preserve">Примечание </w:t>
            </w:r>
            <w:r>
              <w:rPr>
                <w:i/>
              </w:rPr>
              <w:t>—</w:t>
            </w:r>
            <w:r>
              <w:t xml:space="preserve"> </w:t>
            </w:r>
            <w:r>
              <w:rPr>
                <w:sz w:val="18"/>
              </w:rPr>
              <w:t>Нормативный изгибающи</w:t>
            </w:r>
            <w:r>
              <w:rPr>
                <w:sz w:val="18"/>
              </w:rPr>
              <w:t>й момент относится к сечению стойки в уровне условного обреза фундамента, расположенному для стоек длиной 13 600 мм и 10 800 мм на расстоянии 9,6 м от вершины, для стоек длиной 15 600 мм - на расстоянии 11,6 м от вершины, а для стоек длиной 10 000 и 12 000 мм - в нижнем сечении стойки.</w:t>
            </w:r>
          </w:p>
        </w:tc>
      </w:tr>
    </w:tbl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3.5 Стойки типа СС для использования на участках контактной сети постоянного тока изготавливаются с установленным диагностическим проводником — металлическим стержнем, предназначенным для присоединения аппаратуры диагностик</w:t>
      </w:r>
      <w:r>
        <w:t>и состояния подземной части стоек в процессе их эксплуатации. Диагностический проводник устанавливается в нижней части стоек в зоне вентиляционных отверстий.</w:t>
      </w:r>
    </w:p>
    <w:p w:rsidR="00000000" w:rsidRDefault="00451B70">
      <w:pPr>
        <w:spacing w:line="240" w:lineRule="auto"/>
        <w:ind w:firstLine="284"/>
      </w:pPr>
      <w:r>
        <w:t>3.6 На стойках длиной 13600 и 15600 мм должен быть установлен репер (металлический стержень, выступающий за внешнюю поверхность стойки, обозначающий положение условного обреза фундамента).</w:t>
      </w:r>
    </w:p>
    <w:p w:rsidR="00000000" w:rsidRDefault="00451B70">
      <w:pPr>
        <w:spacing w:line="240" w:lineRule="auto"/>
        <w:ind w:firstLine="284"/>
      </w:pPr>
      <w:r>
        <w:t>Допускается совмещение репера и диагностического проводника.</w:t>
      </w:r>
    </w:p>
    <w:p w:rsidR="00000000" w:rsidRDefault="00451B70">
      <w:pPr>
        <w:spacing w:line="240" w:lineRule="auto"/>
        <w:ind w:firstLine="284"/>
      </w:pPr>
      <w:r>
        <w:t>3.7 На все стойки наносятся риски, определяющие положение их центра тяжести.</w:t>
      </w:r>
    </w:p>
    <w:p w:rsidR="00000000" w:rsidRDefault="00451B70">
      <w:pPr>
        <w:spacing w:line="240" w:lineRule="auto"/>
        <w:ind w:firstLine="284"/>
      </w:pPr>
      <w:r>
        <w:t>3.8 Стойки поставляют с уст</w:t>
      </w:r>
      <w:r>
        <w:t>ановленными деталями для крепления консолей и кронштейнов:</w:t>
      </w:r>
    </w:p>
    <w:p w:rsidR="00000000" w:rsidRDefault="00451B70">
      <w:pPr>
        <w:spacing w:line="240" w:lineRule="auto"/>
        <w:ind w:firstLine="284"/>
      </w:pPr>
      <w:r>
        <w:t>стойки, предназначенные для эксплуатации на участках контактной сети постоянного тока, — с несъемными изолирующими втулками, а также съемными втулками-прокладками и закладными болтами, установленными в отверстия при изготовлении стоек;</w:t>
      </w:r>
    </w:p>
    <w:p w:rsidR="00000000" w:rsidRDefault="00451B70">
      <w:pPr>
        <w:spacing w:line="240" w:lineRule="auto"/>
        <w:ind w:firstLine="284"/>
      </w:pPr>
      <w:r>
        <w:t>стойки, предназначенные для эксплуатации на участках контактной сети переменного тока, — со съемными втулками-прокладками и закладными болтами.</w:t>
      </w:r>
    </w:p>
    <w:p w:rsidR="00000000" w:rsidRDefault="00451B70">
      <w:pPr>
        <w:spacing w:line="240" w:lineRule="auto"/>
        <w:ind w:firstLine="284"/>
      </w:pPr>
      <w:r>
        <w:t>3.9 Стойки обозначают марками в соответствии с требованиями ГОСТ 23009. М</w:t>
      </w:r>
      <w:r>
        <w:t>арки стоек состоят из буквенно-цифровых групп, разделенных дефисами.</w:t>
      </w:r>
    </w:p>
    <w:p w:rsidR="00000000" w:rsidRDefault="00451B70">
      <w:pPr>
        <w:spacing w:line="240" w:lineRule="auto"/>
        <w:ind w:firstLine="284"/>
      </w:pPr>
      <w:r>
        <w:t>Первая группа содержит обозначение типа стойки и номинальные габариты: длину стойки в дециметрах и через точку — толщину стенки в сантиметрах, значения которых округляют до целого числа.</w:t>
      </w:r>
    </w:p>
    <w:p w:rsidR="00000000" w:rsidRDefault="00451B70">
      <w:pPr>
        <w:spacing w:line="240" w:lineRule="auto"/>
        <w:ind w:firstLine="284"/>
      </w:pPr>
      <w:r>
        <w:t>Во второй группе приводят цифру, соответствующую несущей способности стойки — нормативному изгибающему моменту (по таблице 2), и через точку — цифру, соответствующую классу напрягаемой арматуры:</w:t>
      </w:r>
    </w:p>
    <w:p w:rsidR="00000000" w:rsidRDefault="00451B70">
      <w:pPr>
        <w:spacing w:line="240" w:lineRule="auto"/>
        <w:ind w:firstLine="284"/>
      </w:pPr>
      <w:r>
        <w:t>1 — высокопрочная проволока класса Вр-</w:t>
      </w:r>
      <w:r>
        <w:rPr>
          <w:lang w:val="en-US"/>
        </w:rPr>
        <w:t>II</w:t>
      </w:r>
      <w:r>
        <w:t>;</w:t>
      </w:r>
    </w:p>
    <w:p w:rsidR="00000000" w:rsidRDefault="00451B70">
      <w:pPr>
        <w:spacing w:line="240" w:lineRule="auto"/>
        <w:ind w:firstLine="284"/>
      </w:pPr>
      <w:r>
        <w:t>2 — стержневая арма</w:t>
      </w:r>
      <w:r>
        <w:t>тура класса А-IV;</w:t>
      </w:r>
    </w:p>
    <w:p w:rsidR="00000000" w:rsidRDefault="00451B70">
      <w:pPr>
        <w:spacing w:line="240" w:lineRule="auto"/>
        <w:ind w:firstLine="284"/>
      </w:pPr>
      <w:r>
        <w:t>3 - стержневая арматура класса</w:t>
      </w:r>
      <w:r>
        <w:rPr>
          <w:lang w:val="en-US"/>
        </w:rPr>
        <w:t xml:space="preserve"> A-V.</w:t>
      </w:r>
    </w:p>
    <w:p w:rsidR="00000000" w:rsidRDefault="00451B70">
      <w:pPr>
        <w:spacing w:line="240" w:lineRule="auto"/>
        <w:ind w:firstLine="284"/>
        <w:rPr>
          <w:lang w:val="en-US"/>
        </w:rPr>
      </w:pPr>
      <w:r>
        <w:t>В третьей группе при необходимости отражают дополнительные характеристики, обозначаемые буквами: К — стойкость к воздействию сильноагрессивной среды; М — стойкость к воздействию температуры наружного воздуха ниже минус 55°С; Э — возможность использования в условиях повышенной электрокоррозионной опасности на участках постоянного тока.</w:t>
      </w:r>
    </w:p>
    <w:p w:rsidR="00000000" w:rsidRDefault="00451B70">
      <w:pPr>
        <w:spacing w:line="240" w:lineRule="auto"/>
        <w:ind w:firstLine="0"/>
        <w:jc w:val="center"/>
      </w:pPr>
      <w:r>
        <w:object w:dxaOrig="12412" w:dyaOrig="13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439.5pt" o:ole="">
            <v:imagedata r:id="rId4" o:title=""/>
          </v:shape>
          <o:OLEObject Type="Embed" ProgID="MSPhotoEd.3" ShapeID="_x0000_i1025" DrawAspect="Content" ObjectID="_1427200549" r:id="rId5"/>
        </w:object>
      </w:r>
    </w:p>
    <w:p w:rsidR="00000000" w:rsidRDefault="00451B70">
      <w:pPr>
        <w:pStyle w:val="FR5"/>
        <w:spacing w:before="0"/>
        <w:ind w:left="0" w:firstLine="284"/>
        <w:jc w:val="both"/>
        <w:rPr>
          <w:sz w:val="20"/>
          <w:lang w:val="ru-RU"/>
        </w:rPr>
      </w:pPr>
      <w:r>
        <w:rPr>
          <w:sz w:val="20"/>
          <w:lang w:val="ru-RU"/>
        </w:rPr>
        <w:t>________</w:t>
      </w:r>
    </w:p>
    <w:p w:rsidR="00000000" w:rsidRDefault="00451B70">
      <w:pPr>
        <w:pStyle w:val="FR5"/>
        <w:spacing w:before="0"/>
        <w:ind w:left="0" w:firstLine="284"/>
        <w:jc w:val="both"/>
        <w:rPr>
          <w:sz w:val="20"/>
          <w:lang w:val="ru-RU"/>
        </w:rPr>
      </w:pPr>
      <w:r>
        <w:rPr>
          <w:sz w:val="20"/>
        </w:rPr>
        <w:t>*</w:t>
      </w:r>
      <w:r>
        <w:rPr>
          <w:sz w:val="20"/>
          <w:lang w:val="ru-RU"/>
        </w:rPr>
        <w:t xml:space="preserve"> </w:t>
      </w:r>
      <w:r>
        <w:rPr>
          <w:sz w:val="18"/>
          <w:lang w:val="ru-RU"/>
        </w:rPr>
        <w:t>В скобках указан размер для стоек длиной</w:t>
      </w:r>
      <w:r>
        <w:rPr>
          <w:sz w:val="18"/>
        </w:rPr>
        <w:t xml:space="preserve"> 10,8</w:t>
      </w:r>
      <w:r>
        <w:rPr>
          <w:sz w:val="18"/>
          <w:lang w:val="ru-RU"/>
        </w:rPr>
        <w:t xml:space="preserve"> м.</w:t>
      </w:r>
    </w:p>
    <w:p w:rsidR="00000000" w:rsidRDefault="00451B70">
      <w:pPr>
        <w:pStyle w:val="FR5"/>
        <w:spacing w:before="0"/>
        <w:ind w:left="0" w:firstLine="284"/>
        <w:jc w:val="both"/>
        <w:rPr>
          <w:sz w:val="20"/>
        </w:rPr>
      </w:pP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1 —</w:t>
      </w:r>
      <w:r>
        <w:t xml:space="preserve"> верхняя заглушка; </w:t>
      </w:r>
      <w:r>
        <w:rPr>
          <w:i/>
        </w:rPr>
        <w:t>2 —</w:t>
      </w:r>
      <w:r>
        <w:t xml:space="preserve"> отверстия дл</w:t>
      </w:r>
      <w:r>
        <w:t xml:space="preserve">я установки закладных деталей </w:t>
      </w:r>
    </w:p>
    <w:p w:rsidR="00000000" w:rsidRDefault="00451B70">
      <w:pPr>
        <w:spacing w:line="240" w:lineRule="auto"/>
        <w:ind w:firstLine="284"/>
        <w:jc w:val="center"/>
      </w:pPr>
      <w:r>
        <w:t xml:space="preserve">для крепления консолей и кронштейнов; </w:t>
      </w:r>
      <w:r>
        <w:rPr>
          <w:i/>
        </w:rPr>
        <w:t>3 —</w:t>
      </w:r>
      <w:r>
        <w:t xml:space="preserve"> отверстия для вентиляции; 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4—</w:t>
      </w:r>
      <w:r>
        <w:t xml:space="preserve"> нижняя заглушка; </w:t>
      </w:r>
      <w:r>
        <w:rPr>
          <w:i/>
        </w:rPr>
        <w:t>5 —</w:t>
      </w:r>
      <w:r>
        <w:t xml:space="preserve"> опорный башмак для крепления стойки </w:t>
      </w:r>
    </w:p>
    <w:p w:rsidR="00000000" w:rsidRDefault="00451B70">
      <w:pPr>
        <w:spacing w:line="240" w:lineRule="auto"/>
        <w:ind w:firstLine="284"/>
        <w:jc w:val="center"/>
      </w:pPr>
      <w:r>
        <w:t>к фундаменту анкерными болтами</w:t>
      </w:r>
    </w:p>
    <w:p w:rsidR="00000000" w:rsidRDefault="00451B70">
      <w:pPr>
        <w:spacing w:line="240" w:lineRule="auto"/>
        <w:ind w:firstLine="284"/>
        <w:jc w:val="center"/>
        <w:rPr>
          <w:b/>
          <w:i/>
        </w:rPr>
      </w:pPr>
    </w:p>
    <w:p w:rsidR="00000000" w:rsidRDefault="00451B70">
      <w:pPr>
        <w:spacing w:line="240" w:lineRule="auto"/>
        <w:ind w:firstLine="284"/>
        <w:jc w:val="center"/>
        <w:rPr>
          <w:b/>
          <w:i/>
        </w:rPr>
      </w:pPr>
      <w:r>
        <w:rPr>
          <w:b/>
          <w:i/>
        </w:rPr>
        <w:t>Рисунок 1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Примеры условных обозначений (марок) стоек приведены в приложении Б.</w:t>
      </w:r>
    </w:p>
    <w:p w:rsidR="00000000" w:rsidRDefault="00451B70">
      <w:pPr>
        <w:spacing w:line="240" w:lineRule="auto"/>
        <w:ind w:firstLine="284"/>
        <w:rPr>
          <w:lang w:val="en-US"/>
        </w:rPr>
      </w:pPr>
      <w:r>
        <w:t>Допускается использовать условные обозначения (марки) стоек, указанные в рабочих чертежах, входящих в состав проектной документации по конкретному сооружению.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  <w:lang w:val="en-US"/>
        </w:rPr>
      </w:pPr>
      <w:r>
        <w:rPr>
          <w:b/>
          <w:sz w:val="22"/>
        </w:rPr>
        <w:t>4 Технические требования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>4.1 Характеристики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4.1.1 Стойки должны удовлетворят</w:t>
      </w:r>
      <w:r>
        <w:t>ь требованиям по прочности, жесткости и трещиностойкости, установленным в рабочей документации.</w:t>
      </w:r>
    </w:p>
    <w:p w:rsidR="00000000" w:rsidRDefault="00451B70">
      <w:pPr>
        <w:spacing w:line="240" w:lineRule="auto"/>
        <w:ind w:firstLine="284"/>
      </w:pPr>
      <w:r>
        <w:t>4.1.2 Стойки следует изготавливать из тяжелого бетона, удовлетворяющего требованиям ГОСТ 26633, классов по прочности на сжатие не ниже указанных в таблице 2.</w:t>
      </w:r>
    </w:p>
    <w:p w:rsidR="00000000" w:rsidRDefault="00451B70">
      <w:pPr>
        <w:spacing w:line="240" w:lineRule="auto"/>
        <w:ind w:firstLine="284"/>
        <w:rPr>
          <w:lang w:val="en-US"/>
        </w:rPr>
      </w:pPr>
      <w:r>
        <w:t>4.1.3 Нормируемая передаточная прочность бетона должна приниматься не ниже значений, указанных в таблице 3.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  <w:rPr>
          <w:lang w:val="en-US"/>
        </w:rPr>
      </w:pPr>
      <w:r>
        <w:t>Таблица 3</w:t>
      </w:r>
    </w:p>
    <w:p w:rsidR="00000000" w:rsidRDefault="00451B7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Нормативный изгибающий момент, кН</w:t>
            </w:r>
            <w:r>
              <w:sym w:font="Symbol" w:char="F0D7"/>
            </w:r>
            <w:r>
              <w:t>м (тс</w:t>
            </w:r>
            <w:r>
              <w:rPr>
                <w:lang w:val="en-US"/>
              </w:rPr>
              <w:sym w:font="Symbol" w:char="F0D7"/>
            </w:r>
            <w:r>
              <w:t>м)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Нормируемая передаточная прочность бетона при его классе по прочности на сжатие, МПа (кг</w:t>
            </w:r>
            <w:r>
              <w:rPr>
                <w:lang w:val="en-US"/>
              </w:rPr>
              <w:t>c</w:t>
            </w:r>
            <w:r>
              <w:t>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</w:t>
            </w:r>
            <w:r>
              <w:rPr>
                <w:lang w:val="en-US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В40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49 (5,0); 59 (6,0); 66 (6,7)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27,5 (280)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79 (8,0); 88 (9,0)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35,3</w:t>
            </w:r>
            <w:r>
              <w:rPr>
                <w:lang w:val="en-US"/>
              </w:rPr>
              <w:t xml:space="preserve"> </w:t>
            </w:r>
            <w:r>
              <w:t>(360)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98</w:t>
            </w:r>
            <w:r>
              <w:rPr>
                <w:lang w:val="en-US"/>
              </w:rPr>
              <w:t xml:space="preserve"> </w:t>
            </w:r>
            <w:r>
              <w:t>(10,0); 111 (11,3)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37,7 (385)</w:t>
            </w:r>
          </w:p>
        </w:tc>
      </w:tr>
    </w:tbl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4.1.4 При поставке стоек в холодный период года нормируемая отпускная прочность бетона должна составлять не менее 90 % прочности бетона на сжатие, соответствующей его классу. Холодный период года определяется в соответствии с ГОСТ 13015.0.</w:t>
      </w:r>
    </w:p>
    <w:p w:rsidR="00000000" w:rsidRDefault="00451B70">
      <w:pPr>
        <w:spacing w:line="240" w:lineRule="auto"/>
        <w:ind w:firstLine="284"/>
      </w:pPr>
      <w:r>
        <w:t>4.1.5 Фактическая прочность бетона (в проектном возрасте, передаточная, отпускная) должна быть не ниже требуемой, назначаемой в зависимости от норми</w:t>
      </w:r>
      <w:r>
        <w:t>руемой прочности и фактической однородности бетона по прочности в соответствии с требованиями ГОСТ 18105.</w:t>
      </w:r>
    </w:p>
    <w:p w:rsidR="00000000" w:rsidRDefault="00451B70">
      <w:pPr>
        <w:spacing w:line="240" w:lineRule="auto"/>
        <w:ind w:firstLine="284"/>
      </w:pPr>
      <w:r>
        <w:t>4.1.6 Поставка стоек с отпускной прочностью бетона ниже прочности, соответствующей его классу, производится при условии, если изготовитель гарантирует достижение бетоном требуемой прочности в возрасте 28 сут. определяемой по результатам испытаний контрольных образцов, изготовленных из бетонной смеси рабочего состава.</w:t>
      </w:r>
    </w:p>
    <w:p w:rsidR="00000000" w:rsidRDefault="00451B70">
      <w:pPr>
        <w:spacing w:line="240" w:lineRule="auto"/>
        <w:ind w:firstLine="284"/>
      </w:pPr>
      <w:r>
        <w:t>4.1.7 Морозостойкость бетона должна соответствовать марке, установленной в рабочей доку</w:t>
      </w:r>
      <w:r>
        <w:t>ментации в зависимости от климатических условий района строительства и указанной в заказе на изготовление стоек.</w:t>
      </w:r>
    </w:p>
    <w:p w:rsidR="00000000" w:rsidRDefault="00451B70">
      <w:pPr>
        <w:spacing w:line="240" w:lineRule="auto"/>
        <w:ind w:firstLine="284"/>
      </w:pPr>
      <w:r>
        <w:t xml:space="preserve">Для районов с расчетной температурой наружного воздуха минус 40 </w:t>
      </w:r>
      <w:r>
        <w:sym w:font="Symbol" w:char="F0B0"/>
      </w:r>
      <w:r>
        <w:t>С и выше марка по морозостойкости бетона стоек должна быть не менее</w:t>
      </w:r>
      <w:r>
        <w:rPr>
          <w:lang w:val="en-US"/>
        </w:rPr>
        <w:t xml:space="preserve"> F150,</w:t>
      </w:r>
      <w:r>
        <w:t xml:space="preserve"> а для районов с расчетной температурой воздуха ниже минус 40 </w:t>
      </w:r>
      <w:r>
        <w:sym w:font="Symbol" w:char="F0B0"/>
      </w:r>
      <w:r>
        <w:t>С — не менее</w:t>
      </w:r>
      <w:r>
        <w:rPr>
          <w:lang w:val="en-US"/>
        </w:rPr>
        <w:t xml:space="preserve"> F200.</w:t>
      </w:r>
    </w:p>
    <w:p w:rsidR="00000000" w:rsidRDefault="00451B70">
      <w:pPr>
        <w:spacing w:line="240" w:lineRule="auto"/>
        <w:ind w:firstLine="284"/>
      </w:pPr>
      <w:r>
        <w:t>4.1.8 Бетон стоек должен быть особо низкой проницаемости и соответствовать марке по водонепроницаемости</w:t>
      </w:r>
      <w:r>
        <w:rPr>
          <w:lang w:val="en-US"/>
        </w:rPr>
        <w:t xml:space="preserve"> W8.</w:t>
      </w:r>
    </w:p>
    <w:p w:rsidR="00000000" w:rsidRDefault="00451B70">
      <w:pPr>
        <w:spacing w:line="240" w:lineRule="auto"/>
        <w:ind w:firstLine="284"/>
      </w:pPr>
      <w:r>
        <w:t>4.1.9 Для армирования стоек следует применять арматурную сталь:</w:t>
      </w:r>
    </w:p>
    <w:p w:rsidR="00000000" w:rsidRDefault="00451B70">
      <w:pPr>
        <w:spacing w:line="240" w:lineRule="auto"/>
        <w:ind w:firstLine="284"/>
      </w:pPr>
      <w:r>
        <w:t>в качес</w:t>
      </w:r>
      <w:r>
        <w:t>тве напрягаемой арматуры — высокопрочную проволоку периодического профиля класса Вр-</w:t>
      </w:r>
      <w:r>
        <w:rPr>
          <w:lang w:val="en-US"/>
        </w:rPr>
        <w:t>II</w:t>
      </w:r>
      <w:r>
        <w:t xml:space="preserve"> по ГОСТ 7348; допускается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качестве напрягаемой арматуры применять горячекатаную арматурную сталь класса</w:t>
      </w:r>
      <w:r>
        <w:rPr>
          <w:lang w:val="en-US"/>
        </w:rPr>
        <w:t xml:space="preserve"> A-IV</w:t>
      </w:r>
      <w:r>
        <w:t xml:space="preserve"> марки 20ХГ2Ц, а при изготовлении стоек предназначенных для использования только на участках контактной сети переменного тока, — класса</w:t>
      </w:r>
      <w:r>
        <w:rPr>
          <w:lang w:val="en-US"/>
        </w:rPr>
        <w:t xml:space="preserve"> A-V</w:t>
      </w:r>
      <w:r>
        <w:t xml:space="preserve"> марки 23Х2Г2Т по ГОСТ 5781;</w:t>
      </w:r>
    </w:p>
    <w:p w:rsidR="00000000" w:rsidRDefault="00451B70">
      <w:pPr>
        <w:spacing w:line="240" w:lineRule="auto"/>
        <w:ind w:firstLine="284"/>
      </w:pPr>
      <w:r>
        <w:t>в качестве продольной ненапрягаемой стержневой арматуры сталь класса</w:t>
      </w:r>
      <w:r>
        <w:rPr>
          <w:lang w:val="en-US"/>
        </w:rPr>
        <w:t xml:space="preserve"> A-III</w:t>
      </w:r>
      <w:r>
        <w:t xml:space="preserve"> марки 25Г2С или 35ГС по ГОСТ 5781;</w:t>
      </w:r>
    </w:p>
    <w:p w:rsidR="00000000" w:rsidRDefault="00451B70">
      <w:pPr>
        <w:spacing w:line="240" w:lineRule="auto"/>
        <w:ind w:firstLine="284"/>
      </w:pPr>
      <w:r>
        <w:t>в качестве поперечной арматуры — пров</w:t>
      </w:r>
      <w:r>
        <w:t>олоку класса Вр-</w:t>
      </w:r>
      <w:r>
        <w:rPr>
          <w:lang w:val="en-US"/>
        </w:rPr>
        <w:t>I</w:t>
      </w:r>
      <w:r>
        <w:t xml:space="preserve"> по ГОСТ 6727 и стержневую горячекатаную сталь классов А-</w:t>
      </w:r>
      <w:r>
        <w:rPr>
          <w:lang w:val="en-US"/>
        </w:rPr>
        <w:t>I</w:t>
      </w:r>
      <w:r>
        <w:t xml:space="preserve"> марки Ст</w:t>
      </w:r>
      <w:r>
        <w:rPr>
          <w:lang w:val="en-US"/>
        </w:rPr>
        <w:t>3</w:t>
      </w:r>
      <w:r>
        <w:t>сп и A-III по ГОСТ 5781.</w:t>
      </w:r>
    </w:p>
    <w:p w:rsidR="00000000" w:rsidRDefault="00451B70">
      <w:pPr>
        <w:spacing w:line="240" w:lineRule="auto"/>
        <w:ind w:firstLine="284"/>
      </w:pPr>
      <w:r>
        <w:t>Диагностический проводник и репер должны выполняться из арматурной стали класса А-</w:t>
      </w:r>
      <w:r>
        <w:rPr>
          <w:lang w:val="en-US"/>
        </w:rPr>
        <w:t>I</w:t>
      </w:r>
      <w:r>
        <w:t>.</w:t>
      </w:r>
    </w:p>
    <w:p w:rsidR="00000000" w:rsidRDefault="00451B70">
      <w:pPr>
        <w:spacing w:line="240" w:lineRule="auto"/>
        <w:ind w:firstLine="284"/>
      </w:pPr>
      <w:r>
        <w:t>4.1.10 Форма и размеры арматурных изделий и их положение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стойках должны соответствовать указанным в рабочих чертежах.</w:t>
      </w:r>
    </w:p>
    <w:p w:rsidR="00000000" w:rsidRDefault="00451B70">
      <w:pPr>
        <w:spacing w:line="240" w:lineRule="auto"/>
        <w:ind w:firstLine="284"/>
      </w:pPr>
      <w:r>
        <w:t>Отклонения действительных размеров арматурных каркасов</w:t>
      </w:r>
      <w:r>
        <w:rPr>
          <w:lang w:val="en-US"/>
        </w:rPr>
        <w:t xml:space="preserve"> </w:t>
      </w:r>
      <w:r>
        <w:t>от</w:t>
      </w:r>
      <w:r>
        <w:rPr>
          <w:lang w:val="en-US"/>
        </w:rPr>
        <w:t xml:space="preserve"> </w:t>
      </w:r>
      <w:r>
        <w:t>номинальных значений не должны превышать, мм:</w:t>
      </w:r>
    </w:p>
    <w:p w:rsidR="00000000" w:rsidRDefault="00451B70">
      <w:pPr>
        <w:spacing w:line="240" w:lineRule="auto"/>
        <w:ind w:firstLine="284"/>
      </w:pPr>
      <w:r>
        <w:t>длина каркаса                    ±10;</w:t>
      </w:r>
    </w:p>
    <w:p w:rsidR="00000000" w:rsidRDefault="00451B70">
      <w:pPr>
        <w:spacing w:line="240" w:lineRule="auto"/>
        <w:ind w:firstLine="284"/>
      </w:pPr>
      <w:r>
        <w:t>диаметр                                ±5;</w:t>
      </w:r>
    </w:p>
    <w:p w:rsidR="00000000" w:rsidRDefault="00451B70">
      <w:pPr>
        <w:spacing w:line="240" w:lineRule="auto"/>
        <w:ind w:firstLine="284"/>
      </w:pPr>
      <w:r>
        <w:t>шаг спиральн</w:t>
      </w:r>
      <w:r>
        <w:t>ой арматуры   ±5.</w:t>
      </w:r>
    </w:p>
    <w:p w:rsidR="00000000" w:rsidRDefault="00451B70">
      <w:pPr>
        <w:spacing w:line="240" w:lineRule="auto"/>
        <w:ind w:firstLine="284"/>
      </w:pPr>
      <w:r>
        <w:t>4.1.11 Армирование стоек должно производиться арматурными каркасами, при изготовлении которых необходимо соблюдать следующие требования:</w:t>
      </w:r>
    </w:p>
    <w:p w:rsidR="00000000" w:rsidRDefault="00451B70">
      <w:pPr>
        <w:spacing w:line="240" w:lineRule="auto"/>
        <w:ind w:firstLine="284"/>
      </w:pPr>
      <w:r>
        <w:t>каждое усиливающее и монтажное кольцо должно быть привязано в трех точках к пучкам напрягаемой арматуры;</w:t>
      </w:r>
    </w:p>
    <w:p w:rsidR="00000000" w:rsidRDefault="00451B70">
      <w:pPr>
        <w:spacing w:line="240" w:lineRule="auto"/>
        <w:ind w:firstLine="284"/>
      </w:pPr>
      <w:r>
        <w:t>ненапрягаемая арматура должна быть привязана к монтажным и</w:t>
      </w:r>
      <w:r>
        <w:rPr>
          <w:i/>
        </w:rPr>
        <w:t xml:space="preserve"> </w:t>
      </w:r>
      <w:r>
        <w:t>усиливающим кольцам в каждом пересечении с ними (в вершине к одному из трех усиливающих колец);</w:t>
      </w:r>
    </w:p>
    <w:p w:rsidR="00000000" w:rsidRDefault="00451B70">
      <w:pPr>
        <w:spacing w:line="240" w:lineRule="auto"/>
        <w:ind w:firstLine="284"/>
      </w:pPr>
      <w:r>
        <w:t>спираль должна быть привязана в верхней и нижней частях стойки, а также в местах расположения мон</w:t>
      </w:r>
      <w:r>
        <w:t>тажных колец в каждом третьем пересечении с напрягаемой арматурой; места привязки спирали должны соответствовать указанным в рабочих чертежах стоек.</w:t>
      </w:r>
    </w:p>
    <w:p w:rsidR="00000000" w:rsidRDefault="00451B70">
      <w:pPr>
        <w:spacing w:line="240" w:lineRule="auto"/>
        <w:ind w:firstLine="284"/>
      </w:pPr>
      <w:r>
        <w:t>4.1.12 Усилия в напрягаемой продольной арматуре по окончании натяжения должны соответствовать указанным в рабочих чертежах.</w:t>
      </w:r>
    </w:p>
    <w:p w:rsidR="00000000" w:rsidRDefault="00451B70">
      <w:pPr>
        <w:spacing w:line="240" w:lineRule="auto"/>
        <w:ind w:firstLine="284"/>
      </w:pPr>
      <w:r>
        <w:t>Отклонения фактических значений усилий всей напрягаемой арматуры (пакета) от номинальных, указанных в рабочих чертежах, не должны превышать ±5 %.</w:t>
      </w:r>
    </w:p>
    <w:p w:rsidR="00000000" w:rsidRDefault="00451B70">
      <w:pPr>
        <w:spacing w:line="240" w:lineRule="auto"/>
        <w:ind w:firstLine="284"/>
      </w:pPr>
      <w:r>
        <w:t>Обрывы напрягаемых проволок или стержней не допускаются.</w:t>
      </w:r>
    </w:p>
    <w:p w:rsidR="00000000" w:rsidRDefault="00451B70">
      <w:pPr>
        <w:spacing w:line="240" w:lineRule="auto"/>
        <w:ind w:firstLine="284"/>
      </w:pPr>
      <w:r>
        <w:t>4.1.13 Толщина остаточного слоя шлам</w:t>
      </w:r>
      <w:r>
        <w:t>а в нижнем торце стойки после центрифугирования не должна превышать 50 мм.</w:t>
      </w:r>
    </w:p>
    <w:p w:rsidR="00000000" w:rsidRDefault="00451B70">
      <w:pPr>
        <w:spacing w:line="240" w:lineRule="auto"/>
        <w:ind w:firstLine="284"/>
      </w:pPr>
      <w:r>
        <w:t>4.1.14 В отверстия, указанные в заказе на изготовление стоек, должны быть установлены предусмотренные в рабочих чертежах изолирующие элементы (втулки-прокладки) и детали для крепления консолей и кронштейнов.</w:t>
      </w:r>
    </w:p>
    <w:p w:rsidR="00000000" w:rsidRDefault="00451B70">
      <w:pPr>
        <w:spacing w:line="240" w:lineRule="auto"/>
        <w:ind w:firstLine="284"/>
      </w:pPr>
      <w:r>
        <w:t>4.1.15 Изолирующие элементы в стойках для контактной сети должны обеспечивать электрическое сопротивление между арматурой стоек и деталями для крепления консолей и кронштейнов не менее 10 000 Ом (при сухой поверхности бетона, изо</w:t>
      </w:r>
      <w:r>
        <w:t>лирующих элементов и деталей для крепления консолей и кронштейнов).</w:t>
      </w:r>
    </w:p>
    <w:p w:rsidR="00000000" w:rsidRDefault="00451B70">
      <w:pPr>
        <w:spacing w:line="240" w:lineRule="auto"/>
        <w:ind w:firstLine="284"/>
      </w:pPr>
      <w:r>
        <w:t>4.1.16 Отклонения действительных значений геометрических параметров стоек от номинальных не должны превышать предельных, указанных в таблице 4.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</w:pPr>
      <w:r>
        <w:t>Таблица 4</w:t>
      </w:r>
    </w:p>
    <w:p w:rsidR="00000000" w:rsidRDefault="00451B7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Наименование отклонения геометрического параметра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Наименование геометрического параметра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Предельное отклонение,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Отклонение линейного размера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Длина стойки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±20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Наружный диаметр стойки (в сечениях, указанных в рабочих чертежах)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Толщина стенки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+30; 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Диаметр отверстия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±2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Расс</w:t>
            </w:r>
            <w:r>
              <w:t>тояние между центрами соседних отверстий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±2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Размер, определяющий положение отверстия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Отклонение от прямолинейности профиля поверхности стойки по образующей конуса на всей длине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</w:tr>
    </w:tbl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4.1.17 Отклонение действительной толщины наружного защитного слоя бетона от номинальной, указанной в рабочих чертежах, не должно превышать ±5 мм по всей поверхности стойки. При этом фактическая толщина наружного защитного слоя бетона должна быть не менее 16 мм.</w:t>
      </w:r>
    </w:p>
    <w:p w:rsidR="00000000" w:rsidRDefault="00451B70">
      <w:pPr>
        <w:spacing w:line="240" w:lineRule="auto"/>
        <w:ind w:firstLine="284"/>
      </w:pPr>
      <w:r>
        <w:t>Отклонение действительной толщины внутреннего защитного слоя</w:t>
      </w:r>
      <w:r>
        <w:t xml:space="preserve"> бетона от номинальной в сторону уменьшения не должно превышать: местное — 10 мм, среднее — 5 мм. При этом фактическая толщина внутреннего защитного слоя бетона должна быть не менее 20 мм.</w:t>
      </w:r>
    </w:p>
    <w:p w:rsidR="00000000" w:rsidRDefault="00451B70">
      <w:pPr>
        <w:spacing w:line="240" w:lineRule="auto"/>
        <w:ind w:firstLine="284"/>
      </w:pPr>
      <w:r>
        <w:t>4.1.18 На наружной поверхности стоек, за исключением поверхности в месте стыка полуформ, не допускаются:</w:t>
      </w:r>
    </w:p>
    <w:p w:rsidR="00000000" w:rsidRDefault="00451B70">
      <w:pPr>
        <w:spacing w:line="240" w:lineRule="auto"/>
        <w:ind w:firstLine="284"/>
      </w:pPr>
      <w:r>
        <w:t>раковины диаметром более 6 мм и глубиной более 3 мм;</w:t>
      </w:r>
    </w:p>
    <w:p w:rsidR="00000000" w:rsidRDefault="00451B70">
      <w:pPr>
        <w:spacing w:line="240" w:lineRule="auto"/>
        <w:ind w:firstLine="284"/>
      </w:pPr>
      <w:r>
        <w:t>более одной раковины на 2 м длины стойки;</w:t>
      </w:r>
    </w:p>
    <w:p w:rsidR="00000000" w:rsidRDefault="00451B70">
      <w:pPr>
        <w:spacing w:line="240" w:lineRule="auto"/>
        <w:ind w:firstLine="284"/>
      </w:pPr>
      <w:r>
        <w:t>местные наплывы (впадины) высотой (глубиной) более 3 мм;</w:t>
      </w:r>
    </w:p>
    <w:p w:rsidR="00000000" w:rsidRDefault="00451B70">
      <w:pPr>
        <w:spacing w:line="240" w:lineRule="auto"/>
        <w:ind w:firstLine="284"/>
      </w:pPr>
      <w:r>
        <w:t>сколы бетона глубиной более 3 мм и длиной более 50 мм на 1 м длины</w:t>
      </w:r>
      <w:r>
        <w:t xml:space="preserve"> стойки.</w:t>
      </w:r>
    </w:p>
    <w:p w:rsidR="00000000" w:rsidRDefault="00451B70">
      <w:pPr>
        <w:spacing w:line="240" w:lineRule="auto"/>
        <w:ind w:firstLine="284"/>
      </w:pPr>
      <w:r>
        <w:t>На наружной поверхности стоек в месте стыка полуформ не допускаются:</w:t>
      </w:r>
    </w:p>
    <w:p w:rsidR="00000000" w:rsidRDefault="00451B70">
      <w:pPr>
        <w:spacing w:line="240" w:lineRule="auto"/>
        <w:ind w:firstLine="284"/>
      </w:pPr>
      <w:r>
        <w:t>раковины и щели;</w:t>
      </w:r>
    </w:p>
    <w:p w:rsidR="00000000" w:rsidRDefault="00451B70">
      <w:pPr>
        <w:spacing w:line="240" w:lineRule="auto"/>
        <w:ind w:firstLine="284"/>
      </w:pPr>
      <w:r>
        <w:t>местные наплывы (впадины) высотой (глубиной) более 3 мм и шириной более 2 мм;</w:t>
      </w:r>
    </w:p>
    <w:p w:rsidR="00000000" w:rsidRDefault="00451B70">
      <w:pPr>
        <w:spacing w:line="240" w:lineRule="auto"/>
        <w:ind w:firstLine="284"/>
      </w:pPr>
      <w:r>
        <w:t>уступы (по стыку полуформ в зоне установки изолирующих элементов) высотой более 3 мм.</w:t>
      </w:r>
    </w:p>
    <w:p w:rsidR="00000000" w:rsidRDefault="00451B70">
      <w:pPr>
        <w:spacing w:line="240" w:lineRule="auto"/>
        <w:ind w:firstLine="284"/>
      </w:pPr>
      <w:r>
        <w:t>4.1.19 На наружной поверхности стоек не допускаются ржавые, жировые пятна и подтеки.</w:t>
      </w:r>
    </w:p>
    <w:p w:rsidR="00000000" w:rsidRDefault="00451B70">
      <w:pPr>
        <w:spacing w:line="240" w:lineRule="auto"/>
        <w:ind w:firstLine="284"/>
      </w:pPr>
      <w:r>
        <w:t>4.1.20 В бетоне стоек не допускаются трещины, за исключением поверхностных усадочных с шириной раскрытия не более 0,1 мм. Длина поверхностных усадочных трещин должна бы</w:t>
      </w:r>
      <w:r>
        <w:t>ть не более 50 мм, а их число — не более пяти на 1 м длины стойки.</w:t>
      </w:r>
    </w:p>
    <w:p w:rsidR="00000000" w:rsidRDefault="00451B70">
      <w:pPr>
        <w:spacing w:line="240" w:lineRule="auto"/>
        <w:ind w:firstLine="284"/>
      </w:pPr>
      <w:r>
        <w:t>4.1.21 Обвалы бетона внутренней поверхности стоек не допускаются.</w:t>
      </w:r>
    </w:p>
    <w:p w:rsidR="00000000" w:rsidRDefault="00451B70">
      <w:pPr>
        <w:spacing w:line="240" w:lineRule="auto"/>
        <w:ind w:firstLine="284"/>
      </w:pPr>
      <w:r>
        <w:t>4.1.22 В стойках в местах, указанных в рабочих чертежах, должны быть установлены диагностический проводник и репер.</w:t>
      </w:r>
    </w:p>
    <w:p w:rsidR="00000000" w:rsidRDefault="00451B70">
      <w:pPr>
        <w:spacing w:line="240" w:lineRule="auto"/>
        <w:ind w:firstLine="284"/>
      </w:pPr>
      <w:r>
        <w:t>Концевая часть диагностического проводника должна выступать за поверхность опоры не более чем на 10 мм.</w:t>
      </w:r>
    </w:p>
    <w:p w:rsidR="00000000" w:rsidRDefault="00451B70">
      <w:pPr>
        <w:spacing w:line="240" w:lineRule="auto"/>
        <w:ind w:firstLine="284"/>
      </w:pPr>
      <w:r>
        <w:t>Выступающие части диагностического проводника и репера должны быть окрашены или оцинкованы.</w:t>
      </w:r>
    </w:p>
    <w:p w:rsidR="00000000" w:rsidRDefault="00451B70">
      <w:pPr>
        <w:spacing w:line="240" w:lineRule="auto"/>
        <w:ind w:firstLine="284"/>
      </w:pPr>
      <w:r>
        <w:t>4.1.23 Торцы нераздельных стоек должны быть заделаны бетонными загл</w:t>
      </w:r>
      <w:r>
        <w:t>ушками. Для контроля качества внутренней поверхности стоек в нижних заглушках рекомендуется устройство отверстий диаметром до 100 мм.</w:t>
      </w:r>
    </w:p>
    <w:p w:rsidR="00000000" w:rsidRDefault="00451B70">
      <w:pPr>
        <w:spacing w:line="240" w:lineRule="auto"/>
        <w:ind w:firstLine="284"/>
      </w:pPr>
      <w:r>
        <w:t>4.1.24 Нижние торцы раздельных стоек, предназначенных для установки в фундаменты стаканного типа, должны быть оштукатурены слоем цементного раствора, толщина которого должна превышать длину выступающих арматурных стержней или проволок не менее чем на 10 мм.</w:t>
      </w:r>
    </w:p>
    <w:p w:rsidR="00000000" w:rsidRDefault="00451B70">
      <w:pPr>
        <w:spacing w:line="240" w:lineRule="auto"/>
        <w:ind w:firstLine="284"/>
      </w:pPr>
      <w:r>
        <w:t>Допускается при условии обрезки арматуры заподлицо с торцевой поверхностью покрытие нижних торцов стоек гидроизоляцией б</w:t>
      </w:r>
      <w:r>
        <w:t>ез последующего оштукатуривания. Гидроизоляция должна быть нанесена на предварительно выровненную цементным раствором торцевую поверхность стойки.</w:t>
      </w:r>
    </w:p>
    <w:p w:rsidR="00000000" w:rsidRDefault="00451B70">
      <w:pPr>
        <w:spacing w:line="240" w:lineRule="auto"/>
        <w:ind w:firstLine="284"/>
      </w:pPr>
      <w:r>
        <w:t>4.1.25 На наружную поверхность фундаментной части стоек типа СС длиной 15,6 и 13,6 м на протяжении 4 м должно быть нанесено гидроизоляционное покрытие.</w:t>
      </w:r>
    </w:p>
    <w:p w:rsidR="00000000" w:rsidRDefault="00451B70">
      <w:pPr>
        <w:spacing w:line="240" w:lineRule="auto"/>
        <w:ind w:firstLine="284"/>
      </w:pPr>
      <w:r>
        <w:t>4.1.26 Металлические башмаки стоек типа ССА должны быть защищены от коррозии.</w:t>
      </w:r>
    </w:p>
    <w:p w:rsidR="00000000" w:rsidRDefault="00451B70">
      <w:pPr>
        <w:spacing w:line="240" w:lineRule="auto"/>
        <w:ind w:firstLine="284"/>
      </w:pPr>
      <w:r>
        <w:t>4.1.27 Стойки, предназначенные для эксплуатации в агрессивной среде, должны иметь антикоррозийную защиту по всей поверхности воздействи</w:t>
      </w:r>
      <w:r>
        <w:t>й.</w:t>
      </w:r>
    </w:p>
    <w:p w:rsidR="00000000" w:rsidRDefault="00451B70">
      <w:pPr>
        <w:spacing w:line="240" w:lineRule="auto"/>
        <w:ind w:firstLine="284"/>
      </w:pPr>
      <w:r>
        <w:t>Виды гидроизоляционных и антикоррозийных покрытий должны соответствовать указанным в рабочих чертежах стоек или в заказе на их изготовление. Выбор покрытий должен определяться требованиями действующих нормативных документов в области защиты строительных конструкций от коррозии.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</w:pPr>
      <w:r>
        <w:rPr>
          <w:b/>
        </w:rPr>
        <w:t>4.2 Требования к материалам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4.2.1 Материалы, применяемые для изготовления тяжелого бетона, должны удовлетворять требованиям ГОСТ 26633. При этом следует использовать:</w:t>
      </w:r>
    </w:p>
    <w:p w:rsidR="00000000" w:rsidRDefault="00451B70">
      <w:pPr>
        <w:spacing w:line="240" w:lineRule="auto"/>
        <w:ind w:firstLine="284"/>
      </w:pPr>
      <w:r>
        <w:t>в качестве вяжущего — портландцемент по ГОСТ 10178, а для сто</w:t>
      </w:r>
      <w:r>
        <w:t>ек, закапываемых непосредственно в грунт, при наличии сильноагрессивных грунтов — сульфатостойкий цемент по ГОСТ 22266;</w:t>
      </w:r>
    </w:p>
    <w:p w:rsidR="00000000" w:rsidRDefault="00451B70">
      <w:pPr>
        <w:spacing w:line="240" w:lineRule="auto"/>
        <w:ind w:firstLine="284"/>
      </w:pPr>
      <w:r>
        <w:t>в качестве крупного заполнителя — щебень по ГОСТ 8267 с наибольшей крупностью зерен не более 20 мм.</w:t>
      </w:r>
    </w:p>
    <w:p w:rsidR="00000000" w:rsidRDefault="00451B70">
      <w:pPr>
        <w:spacing w:line="240" w:lineRule="auto"/>
        <w:ind w:firstLine="284"/>
      </w:pPr>
      <w:r>
        <w:t>4.2.2 Арматурная сталь должна удовлетворять требованиям стандартов, указанных в рабочих чертежах стоек.</w:t>
      </w:r>
    </w:p>
    <w:p w:rsidR="00000000" w:rsidRDefault="00451B70">
      <w:pPr>
        <w:spacing w:line="240" w:lineRule="auto"/>
        <w:ind w:firstLine="284"/>
      </w:pPr>
      <w:r>
        <w:t>4.2.3 Втулки и болты должны удовлетворять требованиям нормативно-технической документации, на которую имеются ссылки в рабочих чертежах стоек.</w:t>
      </w:r>
    </w:p>
    <w:p w:rsidR="00000000" w:rsidRDefault="00451B70">
      <w:pPr>
        <w:spacing w:line="240" w:lineRule="auto"/>
        <w:ind w:firstLine="284"/>
      </w:pPr>
      <w:r>
        <w:t>4.2.4 Башмаки раздельных стоек должны быть из</w:t>
      </w:r>
      <w:r>
        <w:t>готовлены из стального проката по ГОСТ 19903. Прокат для стоек, предназначенных для районов с расчетной температурой наружного воздуха минус 40 °С и выше должен быть изготовлен из стали марки С245, а для районов с расчетной температурой ниже минус 40 °С — из стали марки С345 по ГОСТ 27772.</w:t>
      </w:r>
    </w:p>
    <w:p w:rsidR="00000000" w:rsidRDefault="00451B70">
      <w:pPr>
        <w:spacing w:line="240" w:lineRule="auto"/>
        <w:ind w:firstLine="284"/>
      </w:pPr>
      <w:r>
        <w:t>4.2.5 Материалы, применяемые для устройства антикоррозионных покрытий, должны быть экологически безопасными и удовлетворять требованиям стандартов или технических условий, указанных в рабочих чертежах или в заказах на изг</w:t>
      </w:r>
      <w:r>
        <w:t>отовление стоек.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</w:rPr>
        <w:t>4.3 Маркировка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4.3.1 Маркировка стоек выполняется по ГОСТ 13015.2.</w:t>
      </w:r>
    </w:p>
    <w:p w:rsidR="00000000" w:rsidRDefault="00451B70">
      <w:pPr>
        <w:spacing w:line="240" w:lineRule="auto"/>
        <w:ind w:firstLine="284"/>
      </w:pPr>
      <w:r>
        <w:t>4.3.2 Маркировочные надписи следует наносить не менее чем на 250 мм выше условного обреза фундамента.</w:t>
      </w:r>
    </w:p>
    <w:p w:rsidR="00000000" w:rsidRDefault="00451B70">
      <w:pPr>
        <w:spacing w:line="240" w:lineRule="auto"/>
        <w:ind w:firstLine="284"/>
      </w:pPr>
      <w:r>
        <w:t>4.3.3 Риски, определяющие положение центра тяжести стоек, должны быть нанесены в местах, указанных в рабочих чертежах.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5 Правила приемки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5.1 Приемку стоек техническим контролем предприятия-изготовителя осуществляют партиями в соответствии с общими правилами ГОСТ 13015.1 и дополнительными требованиями настоящего стандарта</w:t>
      </w:r>
      <w:r>
        <w:t>.</w:t>
      </w:r>
    </w:p>
    <w:p w:rsidR="00000000" w:rsidRDefault="00451B70">
      <w:pPr>
        <w:spacing w:line="240" w:lineRule="auto"/>
        <w:ind w:firstLine="284"/>
      </w:pPr>
      <w:r>
        <w:t>5.2 По результатам входного контроля должно проверяться качество материалов, применяемых для приготовления бетона, качество арматурной стали и стали для закладных деталей, качество изолирующих элементов и закладных деталей для крепления консоли контактной сети, качество материалов для гидроизоляционных и антикоррозионных покрытий.</w:t>
      </w:r>
    </w:p>
    <w:p w:rsidR="00000000" w:rsidRDefault="00451B70">
      <w:pPr>
        <w:spacing w:line="240" w:lineRule="auto"/>
        <w:ind w:firstLine="284"/>
      </w:pPr>
      <w:r>
        <w:t>5.3 По результатам операционного контроля должны проверяться: соответствие бетона требованиям ГОСТ 26633; вид и диаметры арматурной стали; соответствие размеров арматурного карк</w:t>
      </w:r>
      <w:r>
        <w:t>аса проектным; положение арматурного каркаса и закладных деталей, диагностического проводника, репера и изолирующих элементов в форме; количество и положение мест привязки арматуры к монтажным кольцам; контролируемое натяжение арматуры; отсутствие обрывов напрягаемой арматуры; соответствие видов материалов, используемых для гидроизоляционных и антикоррозионных покрытий, предусмотренным в рабочих чертежах или в заказе на изготовление стоек; геометрические размеры форм.</w:t>
      </w:r>
    </w:p>
    <w:p w:rsidR="00000000" w:rsidRDefault="00451B70">
      <w:pPr>
        <w:spacing w:line="240" w:lineRule="auto"/>
        <w:ind w:firstLine="284"/>
      </w:pPr>
      <w:r>
        <w:t>5.4 Приемку стоек по прочности, жесткос</w:t>
      </w:r>
      <w:r>
        <w:t>ти и трещиностойкости, по показателям морозостойкости и водонепроницаемости бетона, а также по отклонениям от прямолинейности профиля поверхности стоек проводят по результатам периодических испытаний и измерений.</w:t>
      </w:r>
    </w:p>
    <w:p w:rsidR="00000000" w:rsidRDefault="00451B70">
      <w:pPr>
        <w:spacing w:line="240" w:lineRule="auto"/>
        <w:ind w:firstLine="284"/>
      </w:pPr>
      <w:r>
        <w:t>Испытания стоек по прочности, жесткости и трещиностойкости проводят нагружением при постановке на производство, при внесении в них конструктивных изменений и при изменении технологии изготовления или качества исходных материалов, а также не реже одного раза в месяц.</w:t>
      </w:r>
    </w:p>
    <w:p w:rsidR="00000000" w:rsidRDefault="00451B70">
      <w:pPr>
        <w:spacing w:line="240" w:lineRule="auto"/>
        <w:ind w:firstLine="284"/>
      </w:pPr>
      <w:r>
        <w:t>Испытания морозостойкости и водо</w:t>
      </w:r>
      <w:r>
        <w:t>непроницаемости бетона, а также измерения отклонений от прямолинейности профиля поверхности стоек проводят при постановке стоек на производство, при изменении технологии изготовления или качества исходных материалов, но не реже одного раза в 6 мес.</w:t>
      </w:r>
    </w:p>
    <w:p w:rsidR="00000000" w:rsidRDefault="00451B70">
      <w:pPr>
        <w:spacing w:line="240" w:lineRule="auto"/>
        <w:ind w:firstLine="284"/>
      </w:pPr>
      <w:r>
        <w:t>5.5 Для оценки жесткости и трещиностойкости испытаниям нагружением по ГОСТ 8829 подвергают две стойки из одной партии; для оценки прочности — одну стойку из отобранных для испытаний на жесткость и трещиностойкость.</w:t>
      </w:r>
    </w:p>
    <w:p w:rsidR="00000000" w:rsidRDefault="00451B70">
      <w:pPr>
        <w:spacing w:line="240" w:lineRule="auto"/>
        <w:ind w:firstLine="284"/>
      </w:pPr>
      <w:r>
        <w:t>Стойки признаются выдержавшими испытания, если р</w:t>
      </w:r>
      <w:r>
        <w:t>езультаты испытаний удовлетворяют следующим требованиям:</w:t>
      </w:r>
    </w:p>
    <w:p w:rsidR="00000000" w:rsidRDefault="00451B70">
      <w:pPr>
        <w:spacing w:line="240" w:lineRule="auto"/>
        <w:ind w:firstLine="284"/>
      </w:pPr>
      <w:r>
        <w:t>- разрушение стойки произошло при нагрузке, более или равной контрольной нагрузке по проверке прочности;</w:t>
      </w:r>
    </w:p>
    <w:p w:rsidR="00000000" w:rsidRDefault="00451B70">
      <w:pPr>
        <w:spacing w:line="240" w:lineRule="auto"/>
        <w:ind w:firstLine="284"/>
      </w:pPr>
      <w:r>
        <w:t>- прогиб стоек на уровне контактного провода (7,3 м от уровня условного обреза фундамента) при контрольной нагрузке по проверке жесткости не превышает контрольный прогиб более чем на 10%;</w:t>
      </w:r>
    </w:p>
    <w:p w:rsidR="00000000" w:rsidRDefault="00451B70">
      <w:pPr>
        <w:spacing w:line="240" w:lineRule="auto"/>
        <w:ind w:firstLine="284"/>
      </w:pPr>
      <w:r>
        <w:t>- нагрузка, при которой появились первые поперечные трещины (обнаруженные при помощи лупы с четырехкратным увеличением), более или равна контрольной нагрузке по о</w:t>
      </w:r>
      <w:r>
        <w:t>бразованию трещин.</w:t>
      </w:r>
    </w:p>
    <w:p w:rsidR="00000000" w:rsidRDefault="00451B70">
      <w:pPr>
        <w:spacing w:line="240" w:lineRule="auto"/>
        <w:ind w:firstLine="284"/>
      </w:pPr>
      <w:r>
        <w:t>Значения контрольных нагрузок приведены в 6.1.3.</w:t>
      </w:r>
    </w:p>
    <w:p w:rsidR="00000000" w:rsidRDefault="00451B70">
      <w:pPr>
        <w:spacing w:line="240" w:lineRule="auto"/>
        <w:ind w:firstLine="284"/>
      </w:pPr>
      <w:r>
        <w:t>5.5.1 При испытании по жесткости в случае, если прогиб при контрольной нагрузке хотя бы одной стойки превышает контрольный более чем на 15 %, стойки признают не удовлетворяющими требованиям по жесткости.</w:t>
      </w:r>
    </w:p>
    <w:p w:rsidR="00000000" w:rsidRDefault="00451B70">
      <w:pPr>
        <w:spacing w:line="240" w:lineRule="auto"/>
        <w:ind w:firstLine="284"/>
      </w:pPr>
      <w:r>
        <w:t>Если прогиб при контрольной нагрузке хотя бы одной из стоек превышает контрольный более чем на 10 %, но менее чем на 15 %, то проводят дополнительное испытание еще двух стоек из данной партии. Стойки признают удовлетворяющими требованиям по</w:t>
      </w:r>
      <w:r>
        <w:t xml:space="preserve"> жесткости, если величина измеренного прогиба в этих двух стойках не превышает величину контрольного прогиба более чем на 15 %.</w:t>
      </w:r>
    </w:p>
    <w:p w:rsidR="00000000" w:rsidRDefault="00451B70">
      <w:pPr>
        <w:spacing w:line="240" w:lineRule="auto"/>
        <w:ind w:firstLine="284"/>
      </w:pPr>
      <w:r>
        <w:t>5.5.2 При испытаниях на трещиностойкость в случае появления хотя бы в одной из испытанных стоек трещин при нагрузке менее контрольной проводят испытания еще двух стоек из данной партии. Если ни в одной из них не появятся трещины при нагрузке менее контрольной, стойки признают удовлетворяющими требованиям по трещиностойкости.</w:t>
      </w:r>
    </w:p>
    <w:p w:rsidR="00000000" w:rsidRDefault="00451B70">
      <w:pPr>
        <w:spacing w:line="240" w:lineRule="auto"/>
        <w:ind w:firstLine="284"/>
      </w:pPr>
      <w:r>
        <w:t>5.5.3 Возможность использования стоек, не удовлетворяющих</w:t>
      </w:r>
      <w:r>
        <w:t xml:space="preserve"> требованиям настоящего стандарта по прочности, жесткости и трещиностойкости, определяется по согласованию между изготовителем, заказчиком и проектной организацией.</w:t>
      </w:r>
    </w:p>
    <w:p w:rsidR="00000000" w:rsidRDefault="00451B70">
      <w:pPr>
        <w:spacing w:line="240" w:lineRule="auto"/>
        <w:ind w:firstLine="284"/>
      </w:pPr>
      <w:r>
        <w:t>5.6 Приемку стоек по показателям прочности бетона, точности геометрических параметров (кроме отклонений от прямолинейности), толщины защитного слоя бетона, качеству наружной и внутренней поверхности, значению электрического сопротивления проводят по результатам приемосдаточного контроля и испытаний.</w:t>
      </w:r>
    </w:p>
    <w:p w:rsidR="00000000" w:rsidRDefault="00451B70">
      <w:pPr>
        <w:spacing w:line="240" w:lineRule="auto"/>
        <w:ind w:firstLine="284"/>
      </w:pPr>
      <w:r>
        <w:t>5.7 Приемочный контроль по показателям прочнос</w:t>
      </w:r>
      <w:r>
        <w:t>ти бетона осуществляют по результатам испытаний образцов бетона или неразрушающими методами в соответствии с ГОСТ 18105.</w:t>
      </w:r>
    </w:p>
    <w:p w:rsidR="00000000" w:rsidRDefault="00451B70">
      <w:pPr>
        <w:spacing w:line="240" w:lineRule="auto"/>
        <w:ind w:firstLine="284"/>
      </w:pPr>
      <w:r>
        <w:t>Проверку отпускной прочности бетона неразрушающими методами осуществляют путем выборочного контроля не менее 10 % стоек общего их числа в партии, но не менее трех стоек.</w:t>
      </w:r>
    </w:p>
    <w:p w:rsidR="00000000" w:rsidRDefault="00451B70">
      <w:pPr>
        <w:spacing w:line="240" w:lineRule="auto"/>
        <w:ind w:firstLine="284"/>
      </w:pPr>
      <w:r>
        <w:t>Число контролируемых участков должно быть не менее 30 в партии и не менее трех на каждой контролируемой стойке. Расположение контролируемых участков должно быть указано в рабочих чертежах стоек.</w:t>
      </w:r>
    </w:p>
    <w:p w:rsidR="00000000" w:rsidRDefault="00451B70">
      <w:pPr>
        <w:spacing w:line="240" w:lineRule="auto"/>
        <w:ind w:firstLine="284"/>
      </w:pPr>
      <w:r>
        <w:t>5.8 Приемку стоек по показ</w:t>
      </w:r>
      <w:r>
        <w:t>ателям точности геометрических параметров, по количеству, ширине раскрытия и длине усадочных трещин, толщине защитного слоя бетона, качеству поверхностей, толщине остаточного слоя шлама, отсутствию обвалов бетона осуществляют по результатам выборочного одноступенчатого контроля стоек из партии. Объем выборок и оценка результатов контроля — по ГОСТ 13015.1.</w:t>
      </w:r>
    </w:p>
    <w:p w:rsidR="00000000" w:rsidRDefault="00451B70">
      <w:pPr>
        <w:spacing w:line="240" w:lineRule="auto"/>
        <w:ind w:firstLine="284"/>
      </w:pPr>
      <w:r>
        <w:t>5.8.1 Контроль толщины наружного защитного слоя бетона неразрушающими методами осуществляется на контролируемых участках, число которых должно быть не ме</w:t>
      </w:r>
      <w:r>
        <w:t>нее 9 на каждой стойке в выборке. Расположение контролируемых участков должно быть указано в рабочих чертежах стоек.</w:t>
      </w:r>
    </w:p>
    <w:p w:rsidR="00000000" w:rsidRDefault="00451B70">
      <w:pPr>
        <w:spacing w:line="240" w:lineRule="auto"/>
        <w:ind w:firstLine="284"/>
      </w:pPr>
      <w:r>
        <w:t>5.8.2 Контроль толщины внутреннего защитного слоя бетона путем линейных измерений осуществляется на каждом торце стоек в выборке путем измерений в четырех точках (по концам взаимно перпендикулярных диаметров). За среднее отклонение от номинальной толщины защитного слоя бетона на каждом торце стойки принимается среднеарифметическое результатов этих четырех измерений.</w:t>
      </w:r>
    </w:p>
    <w:p w:rsidR="00000000" w:rsidRDefault="00451B70">
      <w:pPr>
        <w:spacing w:line="240" w:lineRule="auto"/>
        <w:ind w:firstLine="284"/>
      </w:pPr>
      <w:r>
        <w:t>5.9 Приемку стоек по значе</w:t>
      </w:r>
      <w:r>
        <w:t>нию электрического сопротивления между арматурой и закладными деталями, наличию предусмотренных проектом закладных деталей, гидроизоляционных и антикоррозионных покрытий, отсутствию жировых и ржавых пятен на внешней поверхности, наличию маркировочных надписей и рисок, указывающих положение центра тяжести стойки, проводят путем сплошного контроля стоек в партии.</w:t>
      </w:r>
    </w:p>
    <w:p w:rsidR="00000000" w:rsidRDefault="00451B70">
      <w:pPr>
        <w:spacing w:line="240" w:lineRule="auto"/>
        <w:ind w:firstLine="284"/>
      </w:pPr>
      <w:r>
        <w:t>5.10 При контроле заказчиком качества поставленных стоек должны соблюдаться правила приемки, установленные настоящим стандартом.</w:t>
      </w:r>
    </w:p>
    <w:p w:rsidR="00000000" w:rsidRDefault="00451B70">
      <w:pPr>
        <w:spacing w:line="240" w:lineRule="auto"/>
        <w:ind w:firstLine="284"/>
      </w:pPr>
      <w:r>
        <w:t>По требованию заказ</w:t>
      </w:r>
      <w:r>
        <w:t>чика предприятие-изготовитель обязано сообщить результаты лабораторных испытаний.</w:t>
      </w:r>
    </w:p>
    <w:p w:rsidR="00000000" w:rsidRDefault="00451B70">
      <w:pPr>
        <w:spacing w:line="240" w:lineRule="auto"/>
        <w:ind w:firstLine="284"/>
      </w:pPr>
      <w:r>
        <w:t>5.11 На поставляемую партию стоек составляют паспорт в соответствии с ГОСТ 13015.3. Дополнительно в паспорте указывают марки бетона по морозостойкости и водонепроницаемости, класс и диаметр проволочной или стержневой арматуры, виды материалов для антикоррозионных покрытий, а также ограничения по области применения стоек.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6 Методы контроля и испытаний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6.1 Испытания стоек нагружением для определения их прочности, жесткости и т</w:t>
      </w:r>
      <w:r>
        <w:t>рещиностойкости следует проводить по ГОСТ 8829</w:t>
      </w:r>
      <w:r>
        <w:rPr>
          <w:vertAlign w:val="superscript"/>
        </w:rPr>
        <w:t xml:space="preserve"> </w:t>
      </w:r>
      <w:r>
        <w:t>с учетом требований настоящего стандарта.</w:t>
      </w:r>
    </w:p>
    <w:p w:rsidR="00000000" w:rsidRDefault="00451B70">
      <w:pPr>
        <w:spacing w:line="240" w:lineRule="auto"/>
        <w:ind w:firstLine="284"/>
      </w:pPr>
      <w:r>
        <w:t>6.1.1 Испытания стоек на прочность, жесткость и трещиностойкость проводят при положительной температуре воздуха и испытываемой стойки.</w:t>
      </w:r>
    </w:p>
    <w:p w:rsidR="00000000" w:rsidRDefault="00451B70">
      <w:pPr>
        <w:spacing w:line="240" w:lineRule="auto"/>
        <w:ind w:firstLine="284"/>
      </w:pPr>
      <w:r>
        <w:t xml:space="preserve">Стойки, хранившиеся при отрицательной температуре, выдерживают в теплом помещении до приобретения ими положительной температуры. При переносе стоек со склада в помещение разность между температурой бетона стоек и температурой воздуха внутри помещений не должна превышать 35 </w:t>
      </w:r>
      <w:r>
        <w:rPr>
          <w:b/>
        </w:rPr>
        <w:t>°</w:t>
      </w:r>
      <w:r>
        <w:t>С. При этом в</w:t>
      </w:r>
      <w:r>
        <w:t xml:space="preserve"> помещении должна быть температура не ниже плюс 15 </w:t>
      </w:r>
      <w:r>
        <w:rPr>
          <w:b/>
        </w:rPr>
        <w:t>°</w:t>
      </w:r>
      <w:r>
        <w:t>С. Температуру стойки измеряют термометром, помещенным во внутреннюю полость стойки.</w:t>
      </w:r>
    </w:p>
    <w:p w:rsidR="00000000" w:rsidRDefault="00451B70">
      <w:pPr>
        <w:spacing w:line="240" w:lineRule="auto"/>
        <w:ind w:firstLine="284"/>
      </w:pPr>
      <w:r>
        <w:t>Допускается испытывать стойки в зимнее время на открытом воздухе при температуре до минус 10 °С; при этом стойки до испытания должны быть выдержаны в теплом помещении, прогреты и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начале испытания иметь температуру не менее плюс 5 °С.</w:t>
      </w:r>
    </w:p>
    <w:p w:rsidR="00000000" w:rsidRDefault="00451B70">
      <w:pPr>
        <w:spacing w:line="240" w:lineRule="auto"/>
        <w:ind w:firstLine="284"/>
      </w:pPr>
      <w:r>
        <w:t>6.1.2 Схему испытания и загружения стоек следует принимать по рисунку 2 и таблице 5.</w:t>
      </w:r>
    </w:p>
    <w:p w:rsidR="00000000" w:rsidRDefault="00451B70">
      <w:pPr>
        <w:spacing w:line="240" w:lineRule="auto"/>
        <w:ind w:firstLine="284"/>
      </w:pPr>
      <w:r>
        <w:t xml:space="preserve">По согласованию изготовителя с заказчиком и проектной </w:t>
      </w:r>
      <w:r>
        <w:t>организацией допускается испытание стоек по другим схемам, обеспечивающим выполнение требований настоящего стандарта.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</w:pPr>
      <w:r>
        <w:t>Таблица 5</w:t>
      </w:r>
    </w:p>
    <w:p w:rsidR="00000000" w:rsidRDefault="00451B70">
      <w:pPr>
        <w:spacing w:line="240" w:lineRule="auto"/>
        <w:ind w:firstLine="284"/>
        <w:jc w:val="center"/>
      </w:pPr>
      <w:r>
        <w:t>В миллиметрах</w:t>
      </w:r>
    </w:p>
    <w:p w:rsidR="00000000" w:rsidRDefault="00451B7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276"/>
        <w:gridCol w:w="1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15</w:t>
            </w:r>
            <w:r>
              <w:rPr>
                <w:lang w:val="en-US"/>
              </w:rPr>
              <w:t xml:space="preserve"> </w:t>
            </w:r>
            <w: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11 400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13</w:t>
            </w:r>
            <w:r>
              <w:rPr>
                <w:lang w:val="en-US"/>
              </w:rPr>
              <w:t xml:space="preserve"> </w:t>
            </w:r>
            <w:r>
              <w:t>600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9400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2450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2300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4000</w:t>
            </w:r>
          </w:p>
        </w:tc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800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8000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2300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1200</w:t>
            </w:r>
          </w:p>
        </w:tc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8000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4700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8000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2700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2000</w:t>
            </w:r>
          </w:p>
        </w:tc>
      </w:tr>
    </w:tbl>
    <w:p w:rsidR="00000000" w:rsidRDefault="00451B70">
      <w:pPr>
        <w:spacing w:line="240" w:lineRule="auto"/>
        <w:ind w:firstLine="284"/>
        <w:rPr>
          <w:lang w:val="en-US"/>
        </w:rPr>
      </w:pPr>
    </w:p>
    <w:p w:rsidR="00000000" w:rsidRDefault="00451B70">
      <w:pPr>
        <w:ind w:firstLine="0"/>
        <w:jc w:val="center"/>
        <w:rPr>
          <w:sz w:val="24"/>
        </w:rPr>
      </w:pPr>
      <w:r>
        <w:object w:dxaOrig="10612" w:dyaOrig="4275">
          <v:shape id="_x0000_i1026" type="#_x0000_t75" style="width:329.25pt;height:132.75pt" o:ole="">
            <v:imagedata r:id="rId6" o:title=""/>
          </v:shape>
          <o:OLEObject Type="Embed" ProgID="MSPhotoEd.3" ShapeID="_x0000_i1026" DrawAspect="Content" ObjectID="_1427200550" r:id="rId7"/>
        </w:object>
      </w:r>
    </w:p>
    <w:p w:rsidR="00000000" w:rsidRDefault="00451B70">
      <w:pPr>
        <w:ind w:firstLine="0"/>
        <w:jc w:val="center"/>
        <w:rPr>
          <w:lang w:val="en-US"/>
        </w:rPr>
      </w:pPr>
      <w:r>
        <w:object w:dxaOrig="10837" w:dyaOrig="5775">
          <v:shape id="_x0000_i1027" type="#_x0000_t75" style="width:336pt;height:176.25pt" o:ole="">
            <v:imagedata r:id="rId8" o:title=""/>
          </v:shape>
          <o:OLEObject Type="Embed" ProgID="MSPhotoEd.3" ShapeID="_x0000_i1027" DrawAspect="Content" ObjectID="_1427200551" r:id="rId9"/>
        </w:object>
      </w:r>
    </w:p>
    <w:p w:rsidR="00000000" w:rsidRDefault="00451B70">
      <w:pPr>
        <w:ind w:firstLine="0"/>
        <w:jc w:val="center"/>
      </w:pP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rPr>
          <w:i/>
          <w:lang w:val="en-US"/>
        </w:rPr>
        <w:t>1</w:t>
      </w:r>
      <w:r>
        <w:t xml:space="preserve"> — шарнирно-скользящая опора; </w:t>
      </w:r>
      <w:r>
        <w:rPr>
          <w:i/>
        </w:rPr>
        <w:t>2</w:t>
      </w:r>
      <w:r>
        <w:rPr>
          <w:lang w:val="en-US"/>
        </w:rPr>
        <w:t xml:space="preserve"> </w:t>
      </w:r>
      <w:r>
        <w:t xml:space="preserve">— шарнирно-неподвижные опоры; </w:t>
      </w:r>
      <w:r>
        <w:rPr>
          <w:i/>
        </w:rPr>
        <w:t>3 —</w:t>
      </w:r>
      <w:r>
        <w:t xml:space="preserve"> упор в торце; </w:t>
      </w: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4 —</w:t>
      </w:r>
      <w:r>
        <w:t xml:space="preserve"> измерительная рейка; </w:t>
      </w:r>
      <w:r>
        <w:rPr>
          <w:i/>
        </w:rPr>
        <w:t>5 —</w:t>
      </w:r>
      <w:r>
        <w:t xml:space="preserve"> неподвижный репер; </w:t>
      </w:r>
      <w:r>
        <w:rPr>
          <w:i/>
        </w:rPr>
        <w:t>6 —</w:t>
      </w:r>
      <w:r>
        <w:t xml:space="preserve"> стальные хомуты;</w:t>
      </w:r>
      <w:r>
        <w:t xml:space="preserve"> 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7</w:t>
      </w:r>
      <w:r>
        <w:t xml:space="preserve"> — прямая консоль; </w:t>
      </w:r>
      <w:r>
        <w:rPr>
          <w:i/>
        </w:rPr>
        <w:t>8 —</w:t>
      </w:r>
      <w:r>
        <w:t xml:space="preserve"> тяга; </w:t>
      </w:r>
      <w:r>
        <w:rPr>
          <w:i/>
        </w:rPr>
        <w:t>9 —</w:t>
      </w:r>
      <w:r>
        <w:t xml:space="preserve"> трос; </w:t>
      </w:r>
      <w:r>
        <w:rPr>
          <w:i/>
        </w:rPr>
        <w:t>10 —</w:t>
      </w:r>
      <w:r>
        <w:t xml:space="preserve"> уровень контактного провода;</w:t>
      </w:r>
    </w:p>
    <w:p w:rsidR="00000000" w:rsidRDefault="00451B70">
      <w:pPr>
        <w:pStyle w:val="FR5"/>
        <w:spacing w:before="0"/>
        <w:ind w:left="0" w:firstLine="284"/>
        <w:rPr>
          <w:sz w:val="20"/>
        </w:rPr>
      </w:pPr>
      <w:r>
        <w:rPr>
          <w:i/>
          <w:sz w:val="20"/>
        </w:rPr>
        <w:t>11 —</w:t>
      </w:r>
      <w:r>
        <w:rPr>
          <w:sz w:val="20"/>
          <w:lang w:val="ru-RU"/>
        </w:rPr>
        <w:t xml:space="preserve"> уровень условного обреза фундамента;</w:t>
      </w: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Р —</w:t>
      </w:r>
      <w:r>
        <w:t xml:space="preserve"> усилие натяжения при испытании; </w:t>
      </w:r>
      <w:r>
        <w:rPr>
          <w:i/>
        </w:rPr>
        <w:t>А, Б</w:t>
      </w:r>
      <w:r>
        <w:t xml:space="preserve"> и </w:t>
      </w:r>
      <w:r>
        <w:rPr>
          <w:i/>
        </w:rPr>
        <w:t>В —</w:t>
      </w:r>
      <w:r>
        <w:t xml:space="preserve"> места замера перемещений; 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С</w:t>
      </w:r>
      <w:r>
        <w:t xml:space="preserve"> — расстояние между осями хомутов пяты и тяги консоли;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</w:rPr>
        <w:t xml:space="preserve"> —</w:t>
      </w:r>
      <w:r>
        <w:t xml:space="preserve"> общая длина стойки;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  <w:lang w:val="en-US"/>
        </w:rPr>
        <w:t>l</w:t>
      </w:r>
      <w:r>
        <w:rPr>
          <w:vertAlign w:val="subscript"/>
          <w:lang w:val="en-US"/>
        </w:rPr>
        <w:t>1</w:t>
      </w:r>
      <w:r>
        <w:t xml:space="preserve"> — расстояние между центрами опор;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2</w:t>
      </w:r>
      <w:r>
        <w:t xml:space="preserve"> — расстояние между центрами упоров в фундаментной части;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3</w:t>
      </w:r>
      <w:r>
        <w:t xml:space="preserve">— расстояние от верхнего торца стойки до уровня контактного провода;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 xml:space="preserve">4 </w:t>
      </w:r>
      <w:r>
        <w:t>— расстояние от уровня условного обреза фундамента до нижнего</w:t>
      </w:r>
      <w:r>
        <w:rPr>
          <w:lang w:val="en-US"/>
        </w:rPr>
        <w:t xml:space="preserve"> </w:t>
      </w:r>
      <w:r>
        <w:t>торца с</w:t>
      </w:r>
      <w:r>
        <w:t>тойки.</w:t>
      </w: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t xml:space="preserve">При испытании стоек ССА упоры </w:t>
      </w:r>
      <w:r>
        <w:rPr>
          <w:i/>
        </w:rPr>
        <w:t>2</w:t>
      </w:r>
      <w:r>
        <w:t xml:space="preserve"> убираются, стойки закрепляются анкерными болтами в месте расположения упора </w:t>
      </w:r>
      <w:r>
        <w:rPr>
          <w:i/>
        </w:rPr>
        <w:t>3.</w:t>
      </w:r>
      <w:r>
        <w:t xml:space="preserve"> Размер в скобках относится к стойкам длиной 15 600 мм.</w:t>
      </w:r>
    </w:p>
    <w:p w:rsidR="00000000" w:rsidRDefault="00451B70">
      <w:pPr>
        <w:spacing w:line="240" w:lineRule="auto"/>
        <w:ind w:firstLine="284"/>
        <w:jc w:val="center"/>
      </w:pP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rPr>
          <w:b/>
          <w:i/>
        </w:rPr>
        <w:t>Рисунок</w:t>
      </w:r>
      <w:r>
        <w:rPr>
          <w:i/>
        </w:rPr>
        <w:t xml:space="preserve"> 2 —</w:t>
      </w:r>
      <w:r>
        <w:t xml:space="preserve"> Схема испытаний стойки 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а —</w:t>
      </w:r>
      <w:r>
        <w:t xml:space="preserve"> расположение опор по длине стойки (вид сбоку);</w:t>
      </w: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б —</w:t>
      </w:r>
      <w:r>
        <w:t xml:space="preserve"> схема приложения нагрузки (вид сверху)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rPr>
          <w:lang w:val="en-US"/>
        </w:rPr>
      </w:pPr>
      <w:r>
        <w:t xml:space="preserve">6.1.3 Величины контрольных нагрузок (усилий натяжения трос при испытаниях стоек) </w:t>
      </w:r>
      <w:r>
        <w:rPr>
          <w:i/>
        </w:rPr>
        <w:t>Р</w:t>
      </w:r>
      <w:r>
        <w:rPr>
          <w:vertAlign w:val="subscript"/>
        </w:rPr>
        <w:t>к</w:t>
      </w:r>
      <w:r>
        <w:rPr>
          <w:i/>
        </w:rPr>
        <w:t>,</w:t>
      </w:r>
      <w:r>
        <w:t xml:space="preserve"> определенные с учетом коэффициенте безопасности </w:t>
      </w:r>
      <w:r>
        <w:rPr>
          <w:i/>
        </w:rPr>
        <w:t>С</w:t>
      </w:r>
      <w:r>
        <w:t xml:space="preserve"> в соответствии с ГОСТ 8829, указаны в таблице 6.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  <w:rPr>
          <w:lang w:val="en-US"/>
        </w:rPr>
      </w:pPr>
      <w:r>
        <w:t>Таблица 6</w:t>
      </w:r>
    </w:p>
    <w:p w:rsidR="00000000" w:rsidRDefault="00451B7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1248"/>
        <w:gridCol w:w="1276"/>
        <w:gridCol w:w="1350"/>
        <w:gridCol w:w="1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451B70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Испытание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Контрольная нагрузка </w:t>
            </w:r>
            <w:r>
              <w:rPr>
                <w:i/>
              </w:rPr>
              <w:t>Р</w:t>
            </w:r>
            <w:r>
              <w:rPr>
                <w:vertAlign w:val="subscript"/>
              </w:rPr>
              <w:t>к</w:t>
            </w:r>
            <w:r>
              <w:t xml:space="preserve"> (усилие натяжения троса), кН (кгс), для испытания стоек, рассчитанных на нормативный изгибающий момент </w:t>
            </w:r>
            <w:r>
              <w:rPr>
                <w:i/>
              </w:rPr>
              <w:t>М</w:t>
            </w:r>
            <w:r>
              <w:rPr>
                <w:vertAlign w:val="superscript"/>
              </w:rPr>
              <w:t>н</w:t>
            </w:r>
            <w:r>
              <w:rPr>
                <w:i/>
              </w:rPr>
              <w:t>,</w:t>
            </w:r>
            <w:r>
              <w:t xml:space="preserve"> кН</w:t>
            </w:r>
            <w:r>
              <w:sym w:font="Symbol" w:char="F0D7"/>
            </w:r>
            <w:r>
              <w:t>м (тс</w:t>
            </w:r>
            <w:r>
              <w:sym w:font="Symbol" w:char="F0D7"/>
            </w:r>
            <w:r>
              <w:t>м)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Учтенное значение коэффициента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49 (5,0)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 xml:space="preserve">59 (6,0);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66 (6,7)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 xml:space="preserve">79 (8,0);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88 (9,0)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98 (10,0);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111 (11,3)</w:t>
            </w: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безопасности </w:t>
            </w:r>
            <w:r>
              <w:rPr>
                <w:i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По проверке жесткости и трещиностойкости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9,22 (940)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12,36 (1260)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16,48 (1680)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20,60 (2100)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left"/>
            </w:pPr>
            <w:r>
              <w:t>По проверке прочности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14,81 (1510)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19,71 (2010)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26,28 (2680)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32,95 (3360)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1,6</w:t>
            </w:r>
          </w:p>
        </w:tc>
      </w:tr>
    </w:tbl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6.1.4 Нагрузку к испытываемой стойке прикладывают ступенями, указанным</w:t>
      </w:r>
      <w:r>
        <w:t xml:space="preserve">и в приложении В. До начала испытаний следует произвести обжатие испытательной системы нагрузкой, соответствую щей не более 0,1 </w:t>
      </w:r>
      <w:r>
        <w:rPr>
          <w:i/>
        </w:rPr>
        <w:t>М</w:t>
      </w:r>
      <w:r>
        <w:rPr>
          <w:vertAlign w:val="superscript"/>
        </w:rPr>
        <w:t>н</w:t>
      </w:r>
      <w:r>
        <w:t xml:space="preserve"> (нормативного изгибающего момента).</w:t>
      </w:r>
    </w:p>
    <w:p w:rsidR="00000000" w:rsidRDefault="00451B70">
      <w:pPr>
        <w:spacing w:line="240" w:lineRule="auto"/>
        <w:ind w:firstLine="284"/>
      </w:pPr>
      <w:r>
        <w:t xml:space="preserve">Стойку выдерживают 10 мин после приложения каждой ступени нагрузки до значения, соответствующего 1,0 </w:t>
      </w:r>
      <w:r>
        <w:rPr>
          <w:i/>
        </w:rPr>
        <w:t>М</w:t>
      </w:r>
      <w:r>
        <w:rPr>
          <w:vertAlign w:val="superscript"/>
        </w:rPr>
        <w:t>н</w:t>
      </w:r>
      <w:r>
        <w:t>.</w:t>
      </w:r>
    </w:p>
    <w:p w:rsidR="00000000" w:rsidRDefault="00451B70">
      <w:pPr>
        <w:spacing w:line="240" w:lineRule="auto"/>
        <w:ind w:firstLine="284"/>
      </w:pPr>
      <w:r>
        <w:t xml:space="preserve">После приложения контрольной нагрузки по проверке жесткости и трещиностойкости, соответствующей 1,0 </w:t>
      </w:r>
      <w:r>
        <w:rPr>
          <w:i/>
        </w:rPr>
        <w:t>М</w:t>
      </w:r>
      <w:r>
        <w:rPr>
          <w:vertAlign w:val="superscript"/>
        </w:rPr>
        <w:t>н</w:t>
      </w:r>
      <w:r>
        <w:rPr>
          <w:i/>
        </w:rPr>
        <w:t>,</w:t>
      </w:r>
      <w:r>
        <w:t xml:space="preserve"> стойку выдерживают под этой нагрузкой в течение 30 мин. При нагрузке, соответствующей 1,1 </w:t>
      </w:r>
      <w:r>
        <w:rPr>
          <w:i/>
        </w:rPr>
        <w:t>М</w:t>
      </w:r>
      <w:r>
        <w:rPr>
          <w:vertAlign w:val="superscript"/>
        </w:rPr>
        <w:t>н</w:t>
      </w:r>
      <w:r>
        <w:rPr>
          <w:i/>
        </w:rPr>
        <w:t xml:space="preserve"> </w:t>
      </w:r>
      <w:r>
        <w:t>и более, стойку выдерживают 5 мин после при</w:t>
      </w:r>
      <w:r>
        <w:t>ложения каждой ступени нагрузки до полного разрушения стойки.</w:t>
      </w:r>
    </w:p>
    <w:p w:rsidR="00000000" w:rsidRDefault="00451B70">
      <w:pPr>
        <w:spacing w:line="240" w:lineRule="auto"/>
        <w:ind w:firstLine="284"/>
      </w:pPr>
      <w:r>
        <w:t>Величину усилия натяжения троса при испытаниях следует устанавливать по динамометру, удовлетворяющему требованиям ГОСТ 13837.</w:t>
      </w:r>
    </w:p>
    <w:p w:rsidR="00000000" w:rsidRDefault="00451B70">
      <w:pPr>
        <w:spacing w:line="240" w:lineRule="auto"/>
        <w:ind w:firstLine="284"/>
      </w:pPr>
      <w:r>
        <w:t>6.1.5 Определение величины прогиба стойки в плоскости приложения нагрузки выполняют с точностью до 1 мм для каждой ступени нагрузки в точке А, указанной на рисунке 2, с учетом перемещений в точках Б и В.</w:t>
      </w:r>
    </w:p>
    <w:p w:rsidR="00000000" w:rsidRDefault="00451B70">
      <w:pPr>
        <w:spacing w:line="240" w:lineRule="auto"/>
        <w:ind w:firstLine="284"/>
      </w:pPr>
      <w:r>
        <w:t>6.1.6 При испытаниях по жесткости контрольный прогиб стоек под действием контрольной нагрузки по проверке жесткости прин</w:t>
      </w:r>
      <w:r>
        <w:t>имают равным, мм:</w:t>
      </w:r>
    </w:p>
    <w:p w:rsidR="00000000" w:rsidRDefault="00451B70">
      <w:pPr>
        <w:spacing w:line="240" w:lineRule="auto"/>
        <w:ind w:firstLine="284"/>
      </w:pPr>
      <w:r>
        <w:t>100 — для стоек с нормативным изгибающим моментом до 88 кН</w:t>
      </w:r>
      <w:r>
        <w:sym w:font="Symbol" w:char="F0D7"/>
      </w:r>
      <w:r>
        <w:t>м (9 тс</w:t>
      </w:r>
      <w:r>
        <w:sym w:font="Symbol" w:char="F0D7"/>
      </w:r>
      <w:r>
        <w:t>м) включительно;</w:t>
      </w:r>
    </w:p>
    <w:p w:rsidR="00000000" w:rsidRDefault="00451B70">
      <w:pPr>
        <w:spacing w:line="240" w:lineRule="auto"/>
        <w:ind w:firstLine="284"/>
      </w:pPr>
      <w:r>
        <w:t>125 — для стоек с нормативным изгибающим моментом свыше 88 кН</w:t>
      </w:r>
      <w:r>
        <w:sym w:font="Symbol" w:char="F0D7"/>
      </w:r>
      <w:r>
        <w:t>м (9 тс</w:t>
      </w:r>
      <w:r>
        <w:sym w:font="Symbol" w:char="F0D7"/>
      </w:r>
      <w:r>
        <w:t>м).</w:t>
      </w:r>
    </w:p>
    <w:p w:rsidR="00000000" w:rsidRDefault="00451B70">
      <w:pPr>
        <w:spacing w:line="240" w:lineRule="auto"/>
        <w:ind w:firstLine="284"/>
      </w:pPr>
      <w:r>
        <w:t>6.2 Прочность бетона стоек на сжатие следует определять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451B70">
      <w:pPr>
        <w:spacing w:line="240" w:lineRule="auto"/>
        <w:ind w:firstLine="284"/>
      </w:pPr>
      <w:r>
        <w:t>Допускается контроль прочности центрифугированного бетона осуществлять по результатам испытаний вибрированных эталонных образцов-кубов после их те</w:t>
      </w:r>
      <w:r>
        <w:t>рмовлажностной обработки паром. Результаты испытаний учитываются с повышающим коэффициентом перехода, равным 1,25.</w:t>
      </w:r>
    </w:p>
    <w:p w:rsidR="00000000" w:rsidRDefault="00451B70">
      <w:pPr>
        <w:spacing w:line="240" w:lineRule="auto"/>
        <w:ind w:firstLine="284"/>
      </w:pPr>
      <w:r>
        <w:t>При проверке прочности бетона методами неразрушающего контроля фактическую отпускную прочность бетона на сжатие определяют ультразвуковым методом по ГОСТ 17624 или приборами механического действия по ГОСТ 22690.</w:t>
      </w:r>
    </w:p>
    <w:p w:rsidR="00000000" w:rsidRDefault="00451B70">
      <w:pPr>
        <w:spacing w:line="240" w:lineRule="auto"/>
        <w:ind w:firstLine="284"/>
      </w:pPr>
      <w:r>
        <w:t>Допускается применение других стандартизованных методов неразрушающего контроля.</w:t>
      </w:r>
    </w:p>
    <w:p w:rsidR="00000000" w:rsidRDefault="00451B70">
      <w:pPr>
        <w:spacing w:line="240" w:lineRule="auto"/>
        <w:ind w:firstLine="284"/>
      </w:pPr>
      <w:r>
        <w:t>На каждом участке проводят не менее одной группы измерений.</w:t>
      </w:r>
    </w:p>
    <w:p w:rsidR="00000000" w:rsidRDefault="00451B70">
      <w:pPr>
        <w:spacing w:line="240" w:lineRule="auto"/>
        <w:ind w:firstLine="284"/>
      </w:pPr>
      <w:r>
        <w:t>При применении ультразвукового метода должно</w:t>
      </w:r>
      <w:r>
        <w:t xml:space="preserve"> осуществляться поверхностное прозвучивание стоек по линии, перпендикулярной направлению рабочей арматуры.</w:t>
      </w:r>
    </w:p>
    <w:p w:rsidR="00000000" w:rsidRDefault="00451B70">
      <w:pPr>
        <w:spacing w:line="240" w:lineRule="auto"/>
        <w:ind w:firstLine="284"/>
      </w:pPr>
      <w:r>
        <w:t>6.3 Морозостойкость бетона стоек следует определять по ГОСТ 10060.0 — ГОСТ 10060.3 на серии образцов, изготовленных из бетонной смеси рабочего состава.</w:t>
      </w:r>
    </w:p>
    <w:p w:rsidR="00000000" w:rsidRDefault="00451B70">
      <w:pPr>
        <w:spacing w:line="240" w:lineRule="auto"/>
        <w:ind w:firstLine="284"/>
      </w:pPr>
      <w:r>
        <w:t>6.4 Водонепроницаемость бетона стоек следует определять по ГОСТ 12730.5.</w:t>
      </w:r>
    </w:p>
    <w:p w:rsidR="00000000" w:rsidRDefault="00451B70">
      <w:pPr>
        <w:spacing w:line="240" w:lineRule="auto"/>
        <w:ind w:firstLine="284"/>
      </w:pPr>
      <w:r>
        <w:t>6.5 Силу натяжения арматуры, контролируемую по окончании натяжения, измеряют по ГОСТ 22362.</w:t>
      </w:r>
    </w:p>
    <w:p w:rsidR="00000000" w:rsidRDefault="00451B70">
      <w:pPr>
        <w:spacing w:line="240" w:lineRule="auto"/>
        <w:ind w:firstLine="284"/>
      </w:pPr>
      <w:r>
        <w:t>6.6 Размеры стоек, отклонение от прямолинейности их поверхности, положение и диаметр отв</w:t>
      </w:r>
      <w:r>
        <w:t>ерстий, ширину раскрытия поверхностных технологических трещин, размеры раковин, наплывов и сколов бетона стоек следует проверять методами, установленными ГОСТ 26433.1.</w:t>
      </w:r>
    </w:p>
    <w:p w:rsidR="00000000" w:rsidRDefault="00451B70">
      <w:pPr>
        <w:spacing w:line="240" w:lineRule="auto"/>
        <w:ind w:firstLine="284"/>
      </w:pPr>
      <w:r>
        <w:t>6.7 Толщину наружного защитного слоя бетона до арматуры следует определять по ГОСТ 17625 или ГОСТ 22904, внутреннего защитного слоя бетона — путем линейных измерений по ГОСТ 26433.1.</w:t>
      </w:r>
    </w:p>
    <w:p w:rsidR="00000000" w:rsidRDefault="00451B70">
      <w:pPr>
        <w:spacing w:line="240" w:lineRule="auto"/>
        <w:ind w:firstLine="284"/>
      </w:pPr>
      <w:r>
        <w:t xml:space="preserve">6.8 Величины электрического сопротивления стоек при сухой поверхности бетона, изолирующих элементов и деталей для крепления консолей и кронштейнов определяют по </w:t>
      </w:r>
      <w:r>
        <w:t>схеме, приведенной на рисунке 3, мегаомметром, удовлетворяющим требованиям ГОСТ 23706 и рассчитанным на использование измерительного напряжения сети до 500 В.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0"/>
        <w:jc w:val="center"/>
      </w:pPr>
      <w:r>
        <w:object w:dxaOrig="12487" w:dyaOrig="10763">
          <v:shape id="_x0000_i1028" type="#_x0000_t75" style="width:300pt;height:258.75pt" o:ole="">
            <v:imagedata r:id="rId10" o:title=""/>
          </v:shape>
          <o:OLEObject Type="Embed" ProgID="MSPhotoEd.3" ShapeID="_x0000_i1028" DrawAspect="Content" ObjectID="_1427200552" r:id="rId11"/>
        </w:objec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1 —</w:t>
      </w:r>
      <w:r>
        <w:t xml:space="preserve"> изолирующие элементы; </w:t>
      </w:r>
      <w:r>
        <w:rPr>
          <w:i/>
        </w:rPr>
        <w:t>2 —</w:t>
      </w:r>
      <w:r>
        <w:t xml:space="preserve"> выпуск диагностического проводника; 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3 —</w:t>
      </w:r>
      <w:r>
        <w:t xml:space="preserve"> земля; </w:t>
      </w:r>
      <w:r>
        <w:rPr>
          <w:i/>
        </w:rPr>
        <w:t>4 —</w:t>
      </w:r>
      <w:r>
        <w:t xml:space="preserve"> линия; </w:t>
      </w:r>
      <w:r>
        <w:rPr>
          <w:i/>
        </w:rPr>
        <w:t>5 —</w:t>
      </w:r>
      <w:r>
        <w:t xml:space="preserve"> провод</w:t>
      </w:r>
    </w:p>
    <w:p w:rsidR="00000000" w:rsidRDefault="00451B70">
      <w:pPr>
        <w:spacing w:line="240" w:lineRule="auto"/>
        <w:ind w:firstLine="284"/>
        <w:jc w:val="center"/>
      </w:pPr>
    </w:p>
    <w:p w:rsidR="00000000" w:rsidRDefault="00451B70">
      <w:pPr>
        <w:spacing w:line="240" w:lineRule="auto"/>
        <w:ind w:firstLine="284"/>
        <w:jc w:val="center"/>
      </w:pPr>
      <w:r>
        <w:rPr>
          <w:b/>
          <w:i/>
        </w:rPr>
        <w:t>Рисунок</w:t>
      </w:r>
      <w:r>
        <w:rPr>
          <w:i/>
        </w:rPr>
        <w:t xml:space="preserve"> 3 —</w:t>
      </w:r>
      <w:r>
        <w:t xml:space="preserve"> Схема измерения электрического сопротивления между деталями для крепления консолей и кронштейнов и арматурой 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а</w:t>
      </w:r>
      <w:r>
        <w:t xml:space="preserve"> — полного сопротивления;  </w:t>
      </w:r>
      <w:r>
        <w:rPr>
          <w:i/>
        </w:rPr>
        <w:t>б —</w:t>
      </w:r>
      <w:r>
        <w:t xml:space="preserve"> сопротивления одной детали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При необходимости измерений электрического соп</w:t>
      </w:r>
      <w:r>
        <w:t>ротивления стоек во влажном состоянии их проводят по схеме, приведенной на рисунке 4, дополнительно укладывая на изолирующую прокладку экран из медной проволоки и соединяя его с клеммой «Экран» мегаомметра.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0"/>
        <w:jc w:val="center"/>
      </w:pPr>
      <w:r>
        <w:object w:dxaOrig="17175" w:dyaOrig="9750">
          <v:shape id="_x0000_i1029" type="#_x0000_t75" style="width:251.25pt;height:142.5pt" o:ole="">
            <v:imagedata r:id="rId12" o:title=""/>
          </v:shape>
          <o:OLEObject Type="Embed" ProgID="MSPhotoEd.3" ShapeID="_x0000_i1029" DrawAspect="Content" ObjectID="_1427200553" r:id="rId13"/>
        </w:objec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 xml:space="preserve">1 </w:t>
      </w:r>
      <w:r>
        <w:t xml:space="preserve">— изолирующий элемент; </w:t>
      </w:r>
      <w:r>
        <w:rPr>
          <w:i/>
        </w:rPr>
        <w:t>2 —</w:t>
      </w:r>
      <w:r>
        <w:t xml:space="preserve"> стальная шайба; </w:t>
      </w:r>
      <w:r>
        <w:rPr>
          <w:i/>
        </w:rPr>
        <w:t>3 —</w:t>
      </w:r>
      <w:r>
        <w:t xml:space="preserve"> арматура; </w:t>
      </w:r>
    </w:p>
    <w:p w:rsidR="00000000" w:rsidRDefault="00451B70">
      <w:pPr>
        <w:spacing w:line="240" w:lineRule="auto"/>
        <w:ind w:firstLine="284"/>
        <w:jc w:val="center"/>
      </w:pPr>
      <w:r>
        <w:rPr>
          <w:i/>
        </w:rPr>
        <w:t>4 —</w:t>
      </w:r>
      <w:r>
        <w:t xml:space="preserve"> стойка; </w:t>
      </w:r>
      <w:r>
        <w:rPr>
          <w:i/>
        </w:rPr>
        <w:t>5 —</w:t>
      </w:r>
      <w:r>
        <w:t xml:space="preserve"> клемма «Экран»; </w:t>
      </w:r>
      <w:r>
        <w:rPr>
          <w:i/>
        </w:rPr>
        <w:t>6 —</w:t>
      </w:r>
      <w:r>
        <w:t xml:space="preserve"> земля; 7 — линия; </w:t>
      </w:r>
    </w:p>
    <w:p w:rsidR="00000000" w:rsidRDefault="00451B70">
      <w:pPr>
        <w:pStyle w:val="FR5"/>
        <w:spacing w:before="0"/>
        <w:ind w:left="0" w:firstLine="284"/>
        <w:rPr>
          <w:sz w:val="20"/>
          <w:lang w:val="ru-RU"/>
        </w:rPr>
      </w:pPr>
      <w:r>
        <w:rPr>
          <w:i/>
          <w:sz w:val="20"/>
        </w:rPr>
        <w:t>8 —</w:t>
      </w:r>
      <w:r>
        <w:rPr>
          <w:sz w:val="20"/>
          <w:lang w:val="ru-RU"/>
        </w:rPr>
        <w:t xml:space="preserve"> экран из медной проволоки диаметром</w:t>
      </w:r>
      <w:r>
        <w:rPr>
          <w:sz w:val="20"/>
        </w:rPr>
        <w:t xml:space="preserve"> 3</w:t>
      </w:r>
      <w:r>
        <w:rPr>
          <w:sz w:val="20"/>
          <w:lang w:val="ru-RU"/>
        </w:rPr>
        <w:t xml:space="preserve"> мм</w:t>
      </w:r>
    </w:p>
    <w:p w:rsidR="00000000" w:rsidRDefault="00451B70">
      <w:pPr>
        <w:pStyle w:val="FR5"/>
        <w:spacing w:before="0"/>
        <w:ind w:left="0" w:firstLine="284"/>
        <w:rPr>
          <w:sz w:val="20"/>
        </w:rPr>
      </w:pPr>
    </w:p>
    <w:p w:rsidR="00000000" w:rsidRDefault="00451B70">
      <w:pPr>
        <w:spacing w:line="240" w:lineRule="auto"/>
        <w:ind w:firstLine="284"/>
        <w:jc w:val="center"/>
      </w:pPr>
      <w:r>
        <w:rPr>
          <w:b/>
          <w:i/>
        </w:rPr>
        <w:t>Рисунок 4 —</w:t>
      </w:r>
      <w:r>
        <w:t xml:space="preserve"> Схема измерения электрического сопротивления между деталью для крепления консоли (кронштейна) и арматурой с </w:t>
      </w:r>
      <w:r>
        <w:t>использованием экрана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6.9 Контроль соответствия требованиям настоящего стандарта показателей стоек, перечисленных в 5.9 (кроме электрического сопротивления), осуществляют визуально.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7 Транспортирование и хранение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7.1 Транспортировать и хранить стойки следует в соответствии с требованиями ГОСТ 13015.4 и настоящего стандарта.</w:t>
      </w:r>
    </w:p>
    <w:p w:rsidR="00000000" w:rsidRDefault="00451B70">
      <w:pPr>
        <w:spacing w:line="240" w:lineRule="auto"/>
        <w:ind w:firstLine="284"/>
      </w:pPr>
      <w:r>
        <w:t>7.2 Стойки следует транспортировать и хранить в горизонтальном положении в штабелях, рассортированными по маркам.</w:t>
      </w:r>
    </w:p>
    <w:p w:rsidR="00000000" w:rsidRDefault="00451B70">
      <w:pPr>
        <w:spacing w:line="240" w:lineRule="auto"/>
        <w:ind w:firstLine="284"/>
      </w:pPr>
      <w:r>
        <w:t>7.3 При укладке стоек в штабели следует чередовать ряды, в которых ст</w:t>
      </w:r>
      <w:r>
        <w:t>ойки уложены верхними торцами в одну сторону, с рядами, в которых стойки уложены нижними торцами в ту же сторону. Число рядов стоек в штабеле по высоте должно быть не более пяти.</w:t>
      </w:r>
    </w:p>
    <w:p w:rsidR="00000000" w:rsidRDefault="00451B70">
      <w:pPr>
        <w:spacing w:line="240" w:lineRule="auto"/>
        <w:ind w:firstLine="284"/>
      </w:pPr>
      <w:r>
        <w:t>Допускается хранение и перевозка стоек в шесть рядов при условии укладки нижнего ряда на деревянные прокладки с вырубками глубиной не менее 50 мм и радиусом, равным радиусу опор в местах их опирания.</w:t>
      </w:r>
    </w:p>
    <w:p w:rsidR="00000000" w:rsidRDefault="00451B70">
      <w:pPr>
        <w:spacing w:line="240" w:lineRule="auto"/>
        <w:ind w:firstLine="284"/>
      </w:pPr>
      <w:r>
        <w:t>7.4 При хранении стоек в штабелях и их перевозке между горизонтальными рядами стоек следует укладывать прокладки. Прокладки должны ра</w:t>
      </w:r>
      <w:r>
        <w:t>сполагаться на расстоянии 1/5 длины стойки от каждого ее конца. Толщина прокладки должна быть назначена с таким расчетом, чтобы была обеспечена сохранность стоек от повреждения деталями для крепления консолей и кронштейнов, а также в результате разного прогиба стоек под действием собственного веса. На концах прокладок должны иметься ограничительные бруски, препятствующие скатыванию стоек.</w:t>
      </w:r>
    </w:p>
    <w:p w:rsidR="00000000" w:rsidRDefault="00451B70">
      <w:pPr>
        <w:spacing w:line="240" w:lineRule="auto"/>
        <w:ind w:firstLine="284"/>
      </w:pPr>
      <w:r>
        <w:t>7.5 Погрузка и разгрузка стоек должны производиться кранами при помощи траверс или стропов в соответствии со схемами под</w:t>
      </w:r>
      <w:r>
        <w:t>ъема, приведенными в рабочей документации.</w:t>
      </w:r>
    </w:p>
    <w:p w:rsidR="00000000" w:rsidRDefault="00451B70">
      <w:pPr>
        <w:spacing w:line="240" w:lineRule="auto"/>
        <w:ind w:firstLine="284"/>
      </w:pPr>
      <w:r>
        <w:t>7.6 В зимнее время вывоз стоек на склад готовой продукции следует производить после их остывания, при этом перепад температур наружного воздуха и бетона стоек должен быть не более 35 °С.</w:t>
      </w:r>
    </w:p>
    <w:p w:rsidR="00000000" w:rsidRDefault="00451B70">
      <w:pPr>
        <w:spacing w:line="240" w:lineRule="auto"/>
        <w:ind w:firstLine="284"/>
      </w:pPr>
      <w:r>
        <w:t>7.7 Транспортирование стоек тракторами и автомобилями разрешается только при наличии прицепов, оборудованных специальными турникетами с гнездами для стоек и соответствующими средствами крепления.</w:t>
      </w:r>
    </w:p>
    <w:p w:rsidR="00000000" w:rsidRDefault="00451B70">
      <w:pPr>
        <w:spacing w:line="240" w:lineRule="auto"/>
        <w:ind w:firstLine="284"/>
      </w:pPr>
      <w:r>
        <w:t xml:space="preserve">7.8 Стойки, находившиеся длительное время в качестве резерва на складах потребителей, </w:t>
      </w:r>
      <w:r>
        <w:t>должны при использовании по назначению соответствовать требованиям настоящего стандарта.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8 Требования к эксплуатации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8.1 При эксплуатации стоек должен обеспечиваться необходимый уровень их несущей способности, установленный настоящим стандартом.</w:t>
      </w:r>
    </w:p>
    <w:p w:rsidR="00000000" w:rsidRDefault="00451B70">
      <w:pPr>
        <w:spacing w:line="240" w:lineRule="auto"/>
        <w:ind w:firstLine="284"/>
      </w:pPr>
      <w:r>
        <w:t>8.2 При эксплуатации стоек электрическое сопротивление между арматурой и закладными деталями не должно быть менее 10 000 Ом.</w:t>
      </w:r>
    </w:p>
    <w:p w:rsidR="00000000" w:rsidRDefault="00451B70">
      <w:pPr>
        <w:spacing w:line="240" w:lineRule="auto"/>
        <w:ind w:firstLine="284"/>
      </w:pPr>
      <w:r>
        <w:t>8.3 Периодичность и используемые методы контроля принимаются в соответствии с требованиями эксплуатационно-технической документации.</w:t>
      </w:r>
    </w:p>
    <w:p w:rsidR="00000000" w:rsidRDefault="00451B70">
      <w:pPr>
        <w:spacing w:line="240" w:lineRule="auto"/>
        <w:ind w:firstLine="284"/>
      </w:pPr>
      <w:r>
        <w:t>8.4 Пр</w:t>
      </w:r>
      <w:r>
        <w:t>и восстановлении гидроизоляционных и антикоррозионных покрытий должны использоваться материалы, не содержащие веществ, которые могут вызвать загрязнение окружающей среды.</w:t>
      </w:r>
    </w:p>
    <w:p w:rsidR="00000000" w:rsidRDefault="00451B70">
      <w:pPr>
        <w:spacing w:line="240" w:lineRule="auto"/>
        <w:ind w:firstLine="284"/>
      </w:pPr>
      <w:r>
        <w:t>При нанесении защитных покрытий должны приниматься меры против разбрызгивания составов, стекания их со стоек и попадания в грунт и грунтовые воды.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pStyle w:val="FR5"/>
        <w:spacing w:before="0"/>
        <w:ind w:left="0" w:firstLine="284"/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ПРИЛОЖЕНИЕ А </w:t>
      </w:r>
    </w:p>
    <w:p w:rsidR="00000000" w:rsidRDefault="00451B70">
      <w:pPr>
        <w:pStyle w:val="FR5"/>
        <w:spacing w:before="0"/>
        <w:ind w:left="0" w:firstLine="284"/>
        <w:jc w:val="right"/>
        <w:rPr>
          <w:i/>
          <w:sz w:val="20"/>
          <w:lang w:val="ru-RU"/>
        </w:rPr>
      </w:pPr>
      <w:r>
        <w:rPr>
          <w:i/>
          <w:sz w:val="20"/>
          <w:lang w:val="ru-RU"/>
        </w:rPr>
        <w:t>(рекомендуемое)</w:t>
      </w:r>
    </w:p>
    <w:p w:rsidR="00000000" w:rsidRDefault="00451B70">
      <w:pPr>
        <w:pStyle w:val="FR5"/>
        <w:spacing w:before="0"/>
        <w:ind w:left="0" w:firstLine="284"/>
        <w:jc w:val="both"/>
        <w:rPr>
          <w:sz w:val="20"/>
        </w:rPr>
      </w:pP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Перечень нормативных документов, </w:t>
      </w:r>
    </w:p>
    <w:p w:rsidR="00000000" w:rsidRDefault="00451B70">
      <w:pPr>
        <w:spacing w:line="240" w:lineRule="auto"/>
        <w:ind w:firstLine="284"/>
        <w:jc w:val="center"/>
        <w:rPr>
          <w:b/>
        </w:rPr>
      </w:pPr>
      <w:r>
        <w:rPr>
          <w:b/>
        </w:rPr>
        <w:t>на которые имеются ссылки в настоящем стандарте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 xml:space="preserve">ГОСТ 5781—82. Сталь горячекатаная для армирования железобетонных конструкций. </w:t>
      </w:r>
      <w:r>
        <w:t>Технические условия</w:t>
      </w:r>
    </w:p>
    <w:p w:rsidR="00000000" w:rsidRDefault="00451B70">
      <w:pPr>
        <w:spacing w:line="240" w:lineRule="auto"/>
        <w:ind w:firstLine="284"/>
      </w:pPr>
      <w:r>
        <w:t>ГОСТ 6727—80. Проволока из низкоуглеродистой стали холоднотянутая для армирования железобетонных конструкций. Технические условия</w:t>
      </w:r>
    </w:p>
    <w:p w:rsidR="00000000" w:rsidRDefault="00451B70">
      <w:pPr>
        <w:spacing w:line="240" w:lineRule="auto"/>
        <w:ind w:firstLine="284"/>
      </w:pPr>
      <w:r>
        <w:t>ГОСТ 7348—81. Проволока из углеродистой стали для армирования предварительно напряженных железобетонных конструкций</w:t>
      </w:r>
    </w:p>
    <w:p w:rsidR="00000000" w:rsidRDefault="00451B70">
      <w:pPr>
        <w:spacing w:line="240" w:lineRule="auto"/>
        <w:ind w:firstLine="284"/>
      </w:pPr>
      <w:r>
        <w:t>ГОСТ 8267—93. Щебень и гравий из плотных горных пород для строительных работ. Технические условия</w:t>
      </w:r>
    </w:p>
    <w:p w:rsidR="00000000" w:rsidRDefault="00451B70">
      <w:pPr>
        <w:spacing w:line="240" w:lineRule="auto"/>
        <w:ind w:firstLine="284"/>
      </w:pPr>
      <w:r>
        <w:t>ГОСТ 8829—94. Изделия строительные железобетонные и бетонные заводского изготовления. Методы испытаний нагружением. Правила оценки прочности, жестко</w:t>
      </w:r>
      <w:r>
        <w:t>сти и трещиностойкости</w:t>
      </w:r>
    </w:p>
    <w:p w:rsidR="00000000" w:rsidRDefault="00451B70">
      <w:pPr>
        <w:spacing w:line="240" w:lineRule="auto"/>
        <w:ind w:firstLine="284"/>
      </w:pPr>
      <w:r>
        <w:t>ГОСТ 10060.0—95. Бетоны. Методы контроля морозостойкости. Общие требования</w:t>
      </w:r>
    </w:p>
    <w:p w:rsidR="00000000" w:rsidRDefault="00451B70">
      <w:pPr>
        <w:spacing w:line="240" w:lineRule="auto"/>
        <w:ind w:firstLine="284"/>
      </w:pPr>
      <w:r>
        <w:t>ГОСТ 10060.1—95. Бетоны. Базовый метод определения морозостойкости</w:t>
      </w:r>
    </w:p>
    <w:p w:rsidR="00000000" w:rsidRDefault="00451B70">
      <w:pPr>
        <w:spacing w:line="240" w:lineRule="auto"/>
        <w:ind w:firstLine="284"/>
      </w:pPr>
      <w:r>
        <w:t>ГОСТ 10060.2—95. Бетоны. Ускоренные методы определения морозостойкости при многократном замораживании и оттаивании</w:t>
      </w:r>
    </w:p>
    <w:p w:rsidR="00000000" w:rsidRDefault="00451B70">
      <w:pPr>
        <w:spacing w:line="240" w:lineRule="auto"/>
        <w:ind w:firstLine="284"/>
      </w:pPr>
      <w:r>
        <w:t>ГОСТ 10060.3—95. Бетоны. Дилатометрический метод ускоренного определения морозостойкости</w:t>
      </w:r>
    </w:p>
    <w:p w:rsidR="00000000" w:rsidRDefault="00451B70">
      <w:pPr>
        <w:spacing w:line="240" w:lineRule="auto"/>
        <w:ind w:firstLine="284"/>
      </w:pPr>
      <w:r>
        <w:t>ГОСТ 10178—85. Портландцемент и шлакопортландцемент. Технические условия</w:t>
      </w:r>
    </w:p>
    <w:p w:rsidR="00000000" w:rsidRDefault="00451B70">
      <w:pPr>
        <w:spacing w:line="240" w:lineRule="auto"/>
        <w:ind w:firstLine="284"/>
      </w:pPr>
      <w:r>
        <w:t>ГОСТ 10180—90. Бетоны. Методы определения прочности по контрольным обр</w:t>
      </w:r>
      <w:r>
        <w:t>азцам</w:t>
      </w:r>
    </w:p>
    <w:p w:rsidR="00000000" w:rsidRDefault="00451B70">
      <w:pPr>
        <w:spacing w:line="240" w:lineRule="auto"/>
        <w:ind w:firstLine="284"/>
      </w:pPr>
      <w:r>
        <w:t>ГОСТ 12730.5—84. Бетоны. Методы определения водонепроницаемости</w:t>
      </w:r>
    </w:p>
    <w:p w:rsidR="00000000" w:rsidRDefault="00451B70">
      <w:pPr>
        <w:spacing w:line="240" w:lineRule="auto"/>
        <w:ind w:firstLine="284"/>
      </w:pPr>
      <w:r>
        <w:t>ГОСТ 13015.0—83. Конструкции и изделия бетонные и железобетонные сборные. Общие технические требования</w:t>
      </w:r>
    </w:p>
    <w:p w:rsidR="00000000" w:rsidRDefault="00451B70">
      <w:pPr>
        <w:spacing w:line="240" w:lineRule="auto"/>
        <w:ind w:firstLine="284"/>
      </w:pPr>
      <w:r>
        <w:t>ГОСТ 13015.1—81. Конструкции и изделия бетонные и железобетонные сборные. Приемка</w:t>
      </w:r>
    </w:p>
    <w:p w:rsidR="00000000" w:rsidRDefault="00451B70">
      <w:pPr>
        <w:spacing w:line="240" w:lineRule="auto"/>
        <w:ind w:firstLine="284"/>
      </w:pPr>
      <w:r>
        <w:t>ГОСТ 13015.2—81. Конструкции и изделия бетонные и железобетонные сборные. Маркировка</w:t>
      </w:r>
    </w:p>
    <w:p w:rsidR="00000000" w:rsidRDefault="00451B70">
      <w:pPr>
        <w:spacing w:line="240" w:lineRule="auto"/>
        <w:ind w:firstLine="284"/>
      </w:pPr>
      <w:r>
        <w:t>ГОСТ 13015.3—81. Конструкции и изделия бетонные и железобетонные сборные. Документ о качестве</w:t>
      </w:r>
    </w:p>
    <w:p w:rsidR="00000000" w:rsidRDefault="00451B70">
      <w:pPr>
        <w:spacing w:line="240" w:lineRule="auto"/>
        <w:ind w:firstLine="284"/>
      </w:pPr>
      <w:r>
        <w:t>ГОСТ 13015.4—84. Конструкции и изделия бетонные и железобетонные сборные. Прав</w:t>
      </w:r>
      <w:r>
        <w:t>ила транспортирования и хранения</w:t>
      </w:r>
    </w:p>
    <w:p w:rsidR="00000000" w:rsidRDefault="00451B70">
      <w:pPr>
        <w:spacing w:line="240" w:lineRule="auto"/>
        <w:ind w:firstLine="284"/>
      </w:pPr>
      <w:r>
        <w:t>ГОСТ 13837—79. Динамометры общего назначения. Технические условия</w:t>
      </w:r>
    </w:p>
    <w:p w:rsidR="00000000" w:rsidRDefault="00451B70">
      <w:pPr>
        <w:spacing w:line="240" w:lineRule="auto"/>
        <w:ind w:firstLine="284"/>
      </w:pPr>
      <w:r>
        <w:t>ГОСТ 17624—87. Бетоны. Ультразвуковой метод определения прочности</w:t>
      </w:r>
    </w:p>
    <w:p w:rsidR="00000000" w:rsidRDefault="00451B70">
      <w:pPr>
        <w:spacing w:line="240" w:lineRule="auto"/>
        <w:ind w:firstLine="284"/>
      </w:pPr>
      <w:r>
        <w:t>ГОСТ 17625—83. Конструкции и изделия железобетонные. Радиационный метод определения толщины защитного слоя бетона, размеров и расположения арматуры</w:t>
      </w:r>
    </w:p>
    <w:p w:rsidR="00000000" w:rsidRDefault="00451B70">
      <w:pPr>
        <w:spacing w:line="240" w:lineRule="auto"/>
        <w:ind w:firstLine="284"/>
      </w:pPr>
      <w:r>
        <w:t>ГОСТ 18105—86. Бетоны. Правила контроля прочности</w:t>
      </w:r>
    </w:p>
    <w:p w:rsidR="00000000" w:rsidRDefault="00451B70">
      <w:pPr>
        <w:spacing w:line="240" w:lineRule="auto"/>
        <w:ind w:firstLine="284"/>
      </w:pPr>
      <w:r>
        <w:t>ГОСТ 19903—74. Прокат листовой горячекатаный. Сортамент</w:t>
      </w:r>
    </w:p>
    <w:p w:rsidR="00000000" w:rsidRDefault="00451B70">
      <w:pPr>
        <w:spacing w:line="240" w:lineRule="auto"/>
        <w:ind w:firstLine="284"/>
      </w:pPr>
      <w:r>
        <w:t>ГОСТ 22266—94. Цементы сульфатостойкие. Технические условия</w:t>
      </w:r>
    </w:p>
    <w:p w:rsidR="00000000" w:rsidRDefault="00451B70">
      <w:pPr>
        <w:spacing w:line="240" w:lineRule="auto"/>
        <w:ind w:firstLine="284"/>
      </w:pPr>
      <w:r>
        <w:t>ГОСТ 22362—77. Конструкции железо</w:t>
      </w:r>
      <w:r>
        <w:t>бетонные. Методы измерения силы натяжения арматуры</w:t>
      </w:r>
    </w:p>
    <w:p w:rsidR="00000000" w:rsidRDefault="00451B70">
      <w:pPr>
        <w:spacing w:line="240" w:lineRule="auto"/>
        <w:ind w:firstLine="284"/>
      </w:pPr>
      <w:r>
        <w:t>ГОСТ 22690—88. Бетоны. Определение прочности механическими методами неразрушающего контроля</w:t>
      </w:r>
    </w:p>
    <w:p w:rsidR="00000000" w:rsidRDefault="00451B70">
      <w:pPr>
        <w:spacing w:line="240" w:lineRule="auto"/>
        <w:ind w:firstLine="284"/>
      </w:pPr>
      <w:r>
        <w:t>ГОСТ 22904—93. Конструкции железобетонные. Магнитный метод определения толщины защитного слоя бетона и расположения арматуры</w:t>
      </w:r>
    </w:p>
    <w:p w:rsidR="00000000" w:rsidRDefault="00451B70">
      <w:pPr>
        <w:spacing w:line="240" w:lineRule="auto"/>
        <w:ind w:firstLine="284"/>
      </w:pPr>
      <w:r>
        <w:t>ГОСТ 23009—78. Конструкции и изделия бетонные и железобетонные сборные. Условные обозначения (марки)</w:t>
      </w:r>
    </w:p>
    <w:p w:rsidR="00000000" w:rsidRDefault="00451B70">
      <w:pPr>
        <w:spacing w:line="240" w:lineRule="auto"/>
        <w:ind w:firstLine="284"/>
      </w:pPr>
      <w:r>
        <w:t xml:space="preserve">ГОСТ 23706—93. Приборы аналоговые показывающие электроизмерительные прямого действия и вспомогательные части к ним. Часть 6. Особые требования </w:t>
      </w:r>
      <w:r>
        <w:t>к омметрам (приборам для измерения полного сопротивления) и приборам для измерения активной проводимости</w:t>
      </w:r>
    </w:p>
    <w:p w:rsidR="00000000" w:rsidRDefault="00451B70">
      <w:pPr>
        <w:spacing w:line="240" w:lineRule="auto"/>
        <w:ind w:firstLine="284"/>
      </w:pPr>
      <w:r>
        <w:t>ГОСТ 26433.1—89. Система обеспечения точности геометрических параметров в строительстве. Правила выполнения измерений. Элементы заводского изготовления</w:t>
      </w:r>
    </w:p>
    <w:p w:rsidR="00000000" w:rsidRDefault="00451B70">
      <w:pPr>
        <w:spacing w:line="240" w:lineRule="auto"/>
        <w:ind w:firstLine="284"/>
      </w:pPr>
      <w:r>
        <w:t>ГОСТ 26633—91. Бетоны тяжелые и мелкозернистые. Технические условия</w:t>
      </w:r>
    </w:p>
    <w:p w:rsidR="00000000" w:rsidRDefault="00451B70">
      <w:pPr>
        <w:spacing w:line="240" w:lineRule="auto"/>
        <w:ind w:firstLine="284"/>
      </w:pPr>
      <w:r>
        <w:t>ГОСТ 27772—88. Прокат для строительных стальных конструкций. Общие технические условия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</w:pPr>
      <w:r>
        <w:t xml:space="preserve">ПРИЛОЖЕНИЕ Б </w:t>
      </w:r>
    </w:p>
    <w:p w:rsidR="00000000" w:rsidRDefault="00451B70">
      <w:pPr>
        <w:spacing w:line="240" w:lineRule="auto"/>
        <w:ind w:firstLine="284"/>
        <w:jc w:val="right"/>
        <w:rPr>
          <w:i/>
        </w:rPr>
      </w:pPr>
      <w:r>
        <w:rPr>
          <w:i/>
        </w:rPr>
        <w:t>(рекомендуемое)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Примеры маркировки стоек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При маркировке стоек следует применять об</w:t>
      </w:r>
      <w:r>
        <w:t>означения дополнительных характеристик, отражающих условия эксплуатации стоек:</w:t>
      </w:r>
    </w:p>
    <w:p w:rsidR="00000000" w:rsidRDefault="00451B70">
      <w:pPr>
        <w:spacing w:line="240" w:lineRule="auto"/>
        <w:ind w:firstLine="284"/>
      </w:pPr>
      <w:r>
        <w:t>М — для стоек, предназначенных для районов с расчетной температурой наружного воздуха ниже минус 55 °С;</w:t>
      </w:r>
    </w:p>
    <w:p w:rsidR="00000000" w:rsidRDefault="00451B70">
      <w:pPr>
        <w:spacing w:line="240" w:lineRule="auto"/>
        <w:ind w:firstLine="284"/>
      </w:pPr>
      <w:r>
        <w:t>К — для стоек, предназначенных для эксплуатации в случаях воздействия сильноагрессивной газообразной среды, а также в грунтах и грунтовых водах с сильноагрессивными степенями воздействия на железобетонные конструкции с обязательным нанесением защитного покрытия на наружную поверхность стоек;</w:t>
      </w:r>
    </w:p>
    <w:p w:rsidR="00000000" w:rsidRDefault="00451B70">
      <w:pPr>
        <w:spacing w:line="240" w:lineRule="auto"/>
        <w:ind w:firstLine="284"/>
      </w:pPr>
      <w:r>
        <w:t>Э — для стоек, предназначенных для у</w:t>
      </w:r>
      <w:r>
        <w:t>становки на участках постоянного тока.</w:t>
      </w:r>
    </w:p>
    <w:p w:rsidR="00000000" w:rsidRDefault="00451B70">
      <w:pPr>
        <w:spacing w:line="240" w:lineRule="auto"/>
        <w:ind w:firstLine="284"/>
      </w:pPr>
      <w:r>
        <w:t>Пример условного обозначения (марки) стойки типа СС длиной 10 800 мм, толщиной стенки 75 мм, с нормативным изгибающим моментом, равным 98 кН</w:t>
      </w:r>
      <w:r>
        <w:sym w:font="Symbol" w:char="F0D7"/>
      </w:r>
      <w:r>
        <w:t>м, с напрягаемой арматурой из высокопрочной проволоки класса Вр-</w:t>
      </w:r>
      <w:r>
        <w:rPr>
          <w:lang w:val="en-US"/>
        </w:rPr>
        <w:t>II</w:t>
      </w:r>
      <w:r>
        <w:t>, предназначенной для применения в районах с расчетной температурой наружного воздуха ниже минус 55 °С при неагрессивной, слабо- и среднеагрессивной степенях воздействия газообразной среды на железобетонные конструкции или при грунтовых водах с неагрессивной и слабо</w:t>
      </w:r>
      <w:r>
        <w:t>агрессивной степенями воздействия: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</w:pPr>
      <w:r>
        <w:t>СС 108.7-4.1-М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 xml:space="preserve">то же, при применении напрягаемой стержневой арматуры класс, </w:t>
      </w:r>
      <w:r>
        <w:rPr>
          <w:lang w:val="en-US"/>
        </w:rPr>
        <w:t>A-V: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</w:pPr>
      <w:r>
        <w:t>СС 108.7-4.3-М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то же, стойки типа СС длиной 13 600 мм, толщиной стенки 60 мм, с нормативным изгибающим моментом, равным 79 кН</w:t>
      </w:r>
      <w:r>
        <w:sym w:font="Symbol" w:char="F0D7"/>
      </w:r>
      <w:r>
        <w:t>м, с напряженной арматурой из высокопрочной проволоки класса Вр-</w:t>
      </w:r>
      <w:r>
        <w:rPr>
          <w:lang w:val="en-US"/>
        </w:rPr>
        <w:t>II</w:t>
      </w:r>
      <w:r>
        <w:t xml:space="preserve">, предназначенной для применения в районах с расчетной температурой наружного воздуха минус 55 °С и выше при сильноагрессивной степени воздействия газообразной среды или грунта и с защитным покрытием </w:t>
      </w:r>
      <w:r>
        <w:t>на наружной поверхности: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</w:pPr>
      <w:r>
        <w:t>СС 136.6-3.1-К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rPr>
          <w:lang w:val="en-US"/>
        </w:rPr>
      </w:pPr>
      <w:r>
        <w:t>то же, стойки типа ССА длиной 10 000 мм, толщиной стенки 60 мм, с нормативным изгибающим моментом, равным 79 кН</w:t>
      </w:r>
      <w:r>
        <w:sym w:font="Symbol" w:char="F0D7"/>
      </w:r>
      <w:r>
        <w:t>м, с напрягаемой арматурой из высокопрочной проволоки класса Вр-</w:t>
      </w:r>
      <w:r>
        <w:rPr>
          <w:lang w:val="en-US"/>
        </w:rPr>
        <w:t>II</w:t>
      </w:r>
      <w:r>
        <w:t xml:space="preserve">, предназначенной для применения в районах с расчетной температурой наружного воздуха до минус 55 </w:t>
      </w:r>
      <w:r>
        <w:sym w:font="Symbol" w:char="F0B0"/>
      </w:r>
      <w:r>
        <w:t>С и выше при неагрессивной, слабо</w:t>
      </w:r>
      <w:r>
        <w:rPr>
          <w:lang w:val="en-US"/>
        </w:rPr>
        <w:t xml:space="preserve">- </w:t>
      </w:r>
      <w:r>
        <w:t>и среднеагрессивной степенях воздействия газообразной среды или при грунтах и грунтовых водах с неагрессивной и среднеагрессивной степенями воздействия: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t>ССА</w:t>
      </w:r>
      <w:r>
        <w:rPr>
          <w:lang w:val="en-US"/>
        </w:rPr>
        <w:t>1</w:t>
      </w:r>
      <w:r>
        <w:rPr>
          <w:lang w:val="en-US"/>
        </w:rPr>
        <w:t>00</w:t>
      </w:r>
      <w:r>
        <w:t>.6-3.1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rPr>
          <w:lang w:val="en-US"/>
        </w:rPr>
      </w:pPr>
      <w:r>
        <w:t>Такую же стойку, предназначенную для установки на участках постоянного тока, следует маркировать так: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lang w:val="en-US"/>
        </w:rPr>
      </w:pPr>
      <w:r>
        <w:t>ССА100.6-3.1-Э</w:t>
      </w:r>
    </w:p>
    <w:p w:rsidR="00000000" w:rsidRDefault="00451B70">
      <w:pPr>
        <w:spacing w:line="240" w:lineRule="auto"/>
        <w:ind w:firstLine="284"/>
        <w:rPr>
          <w:lang w:val="en-US"/>
        </w:rPr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  <w:rPr>
          <w:lang w:val="en-US"/>
        </w:rPr>
      </w:pPr>
      <w:r>
        <w:t xml:space="preserve">ПРИЛОЖЕНИЕ В </w:t>
      </w:r>
    </w:p>
    <w:p w:rsidR="00000000" w:rsidRDefault="00451B70">
      <w:pPr>
        <w:spacing w:line="240" w:lineRule="auto"/>
        <w:ind w:firstLine="284"/>
        <w:jc w:val="right"/>
        <w:rPr>
          <w:i/>
          <w:lang w:val="en-US"/>
        </w:rPr>
      </w:pPr>
      <w:r>
        <w:rPr>
          <w:i/>
        </w:rPr>
        <w:t>(обязательное)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 xml:space="preserve">Ступени приложения нагрузки при испытании стоек </w:t>
      </w:r>
    </w:p>
    <w:p w:rsidR="00000000" w:rsidRDefault="00451B70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>опор контактной сети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B.1</w:t>
      </w:r>
    </w:p>
    <w:p w:rsidR="00000000" w:rsidRDefault="00451B7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680"/>
        <w:gridCol w:w="1426"/>
        <w:gridCol w:w="1417"/>
        <w:gridCol w:w="1418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Ступени нагру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Изгибающий момент в уровне условного обреза </w:t>
            </w:r>
          </w:p>
        </w:tc>
        <w:tc>
          <w:tcPr>
            <w:tcW w:w="6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Усилие натяжения троса </w:t>
            </w:r>
            <w:r>
              <w:rPr>
                <w:i/>
              </w:rPr>
              <w:t>Р,</w:t>
            </w:r>
            <w:r>
              <w:t xml:space="preserve"> кН(кгс), для стоек с нормативным изгибающим моментом </w:t>
            </w:r>
            <w:r>
              <w:rPr>
                <w:i/>
              </w:rPr>
              <w:t>М</w:t>
            </w:r>
            <w:r>
              <w:rPr>
                <w:vertAlign w:val="superscript"/>
              </w:rPr>
              <w:t>н</w:t>
            </w:r>
            <w:r>
              <w:rPr>
                <w:lang w:val="en-US"/>
              </w:rPr>
              <w:t>,</w:t>
            </w:r>
            <w:r>
              <w:t xml:space="preserve"> кН</w:t>
            </w:r>
            <w:r>
              <w:sym w:font="Symbol" w:char="F0D7"/>
            </w:r>
            <w:r>
              <w:t>м (тс</w:t>
            </w:r>
            <w:r>
              <w:sym w:font="Symbol" w:char="F0D7"/>
            </w:r>
            <w:r>
              <w:t>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зки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фундамента в долях</w:t>
            </w:r>
            <w:r>
              <w:rPr>
                <w:lang w:val="en-US"/>
              </w:rPr>
              <w:t xml:space="preserve"> </w:t>
            </w:r>
            <w:r>
              <w:rPr>
                <w:i/>
              </w:rPr>
              <w:t>М</w:t>
            </w:r>
            <w:r>
              <w:rPr>
                <w:vertAlign w:val="superscript"/>
              </w:rPr>
              <w:t>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49 (5,0)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59 (6,0)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66 (6,7)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79 (8,0)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88 (9,0)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 xml:space="preserve">98 (10,0) </w:t>
            </w:r>
          </w:p>
          <w:p w:rsidR="00000000" w:rsidRDefault="00451B70">
            <w:pPr>
              <w:spacing w:line="240" w:lineRule="auto"/>
              <w:ind w:firstLine="0"/>
              <w:jc w:val="center"/>
            </w:pPr>
            <w:r>
              <w:t>111 (11,3)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0,00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0,00 (0)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0</w:t>
            </w:r>
            <w:r>
              <w:t>,00 (0)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0,00 (0)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0,00 (0)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0,20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1,84 (188)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2,47 (251)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3,31 (335)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4,11 (419)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0,40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3,69 (377)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4,94 (502)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6,62 (670)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8,21 (828)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0,60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5,53 (565)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7,42 (754)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9,93 (1005)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12,32 (1257)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0,80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7,38 (754)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9,89 (1005)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13,24 (1341)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16,43 (1676)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0,90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8,30 (848)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11,13 (1131)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14,90 (1508)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18,48 (1885)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0,95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8,76 (895)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11,74 (1194)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15,73 (1592)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19,51 (1990)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1,00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9,22 (942)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12,36 (1257)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16,55 (1676)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20,53 (2095)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1,05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9,68 (990)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12,98 (1320)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17,38 (1760)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21,56 (2200)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1,10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10,14 (1037)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13,60 (1382)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18,</w:t>
            </w:r>
            <w:r>
              <w:t>21 (1843)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22,59 (2304)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1,20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11,06 (1131)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14,83 (1508)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19,86 (2011)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24,64 (2514)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1,30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11,99 (1225)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16,07 (1634)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21,52 (2179)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26,69 (2723)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1,40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12,91 (1320)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17,31 (1760)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23,17 (2346)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28,75 (2933)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1,50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13,83 (1414)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18,54 (1885)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24,83 (2514)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30,80 (3143)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0"/>
              <w:jc w:val="center"/>
            </w:pPr>
            <w:r>
              <w:t>1,60</w:t>
            </w:r>
          </w:p>
        </w:tc>
        <w:tc>
          <w:tcPr>
            <w:tcW w:w="1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14,75 (1508)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19,78 (2011)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26,49 (2682)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B70">
            <w:pPr>
              <w:spacing w:line="240" w:lineRule="auto"/>
              <w:ind w:firstLine="110"/>
              <w:jc w:val="center"/>
            </w:pPr>
            <w:r>
              <w:t>32,85 (3352)</w:t>
            </w:r>
          </w:p>
        </w:tc>
      </w:tr>
    </w:tbl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rPr>
          <w:lang w:val="en-US"/>
        </w:rPr>
      </w:pPr>
    </w:p>
    <w:p w:rsidR="00000000" w:rsidRDefault="00451B70">
      <w:pPr>
        <w:spacing w:line="240" w:lineRule="auto"/>
        <w:ind w:firstLine="284"/>
      </w:pPr>
      <w:r>
        <w:t>Ключевые слова: опоры контактной сети железных дорог, стойки железобетонные, технические требования, приемка, методы контроля, транспортирование и хранение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Содержание</w:t>
      </w:r>
    </w:p>
    <w:p w:rsidR="00000000" w:rsidRDefault="00451B70">
      <w:pPr>
        <w:spacing w:line="240" w:lineRule="auto"/>
        <w:ind w:firstLine="284"/>
      </w:pPr>
    </w:p>
    <w:p w:rsidR="00000000" w:rsidRDefault="00451B70">
      <w:pPr>
        <w:spacing w:line="240" w:lineRule="auto"/>
        <w:ind w:firstLine="284"/>
      </w:pPr>
      <w:r>
        <w:t>Введение</w:t>
      </w:r>
    </w:p>
    <w:p w:rsidR="00000000" w:rsidRDefault="00451B70">
      <w:pPr>
        <w:spacing w:line="240" w:lineRule="auto"/>
        <w:ind w:firstLine="284"/>
      </w:pPr>
      <w:r>
        <w:t xml:space="preserve">1 </w:t>
      </w:r>
      <w:r>
        <w:t xml:space="preserve">Область применения </w:t>
      </w:r>
    </w:p>
    <w:p w:rsidR="00000000" w:rsidRDefault="00451B70">
      <w:pPr>
        <w:spacing w:line="240" w:lineRule="auto"/>
        <w:ind w:firstLine="284"/>
      </w:pPr>
      <w:r>
        <w:t>2 Нормативные ссылки</w:t>
      </w:r>
    </w:p>
    <w:p w:rsidR="00000000" w:rsidRDefault="00451B70">
      <w:pPr>
        <w:spacing w:line="240" w:lineRule="auto"/>
        <w:ind w:firstLine="284"/>
      </w:pPr>
      <w:r>
        <w:t>3 Основные параметры и размеры</w:t>
      </w:r>
    </w:p>
    <w:p w:rsidR="00000000" w:rsidRDefault="00451B70">
      <w:pPr>
        <w:spacing w:line="240" w:lineRule="auto"/>
        <w:ind w:firstLine="284"/>
      </w:pPr>
      <w:r>
        <w:t>4 Технические требования</w:t>
      </w:r>
    </w:p>
    <w:p w:rsidR="00000000" w:rsidRDefault="00451B70">
      <w:pPr>
        <w:spacing w:line="240" w:lineRule="auto"/>
        <w:ind w:firstLine="284"/>
      </w:pPr>
      <w:r>
        <w:t xml:space="preserve">5 Правила приемки </w:t>
      </w:r>
    </w:p>
    <w:p w:rsidR="00000000" w:rsidRDefault="00451B70">
      <w:pPr>
        <w:spacing w:line="240" w:lineRule="auto"/>
        <w:ind w:firstLine="284"/>
      </w:pPr>
      <w:r>
        <w:t>6 Методы контроля и испытаний</w:t>
      </w:r>
    </w:p>
    <w:p w:rsidR="00000000" w:rsidRDefault="00451B70">
      <w:pPr>
        <w:spacing w:line="240" w:lineRule="auto"/>
        <w:ind w:firstLine="284"/>
      </w:pPr>
      <w:r>
        <w:t>7 Транспортирование и хранение</w:t>
      </w:r>
    </w:p>
    <w:p w:rsidR="00000000" w:rsidRDefault="00451B70">
      <w:pPr>
        <w:spacing w:line="240" w:lineRule="auto"/>
        <w:ind w:firstLine="284"/>
      </w:pPr>
      <w:r>
        <w:t xml:space="preserve">8 Требования к эксплуатации </w:t>
      </w:r>
    </w:p>
    <w:p w:rsidR="00000000" w:rsidRDefault="00451B70">
      <w:pPr>
        <w:spacing w:line="240" w:lineRule="auto"/>
        <w:ind w:firstLine="284"/>
      </w:pPr>
      <w:r>
        <w:t>Приложение А Перечень нормативных документов, на которые имеются ссылки в настоящем стандарте</w:t>
      </w:r>
    </w:p>
    <w:p w:rsidR="00000000" w:rsidRDefault="00451B70">
      <w:pPr>
        <w:spacing w:line="240" w:lineRule="auto"/>
        <w:ind w:firstLine="284"/>
      </w:pPr>
      <w:r>
        <w:t xml:space="preserve">Приложение Б Примеры маркировки стоек </w:t>
      </w:r>
    </w:p>
    <w:p w:rsidR="00000000" w:rsidRDefault="00451B70">
      <w:pPr>
        <w:spacing w:line="240" w:lineRule="auto"/>
        <w:ind w:firstLine="284"/>
      </w:pPr>
      <w:r>
        <w:t xml:space="preserve">Приложение В Ступени приложения нагрузки при испытании стоек опор контактной сети </w:t>
      </w:r>
    </w:p>
    <w:p w:rsidR="00000000" w:rsidRDefault="00451B70">
      <w:pPr>
        <w:spacing w:line="240" w:lineRule="auto"/>
        <w:ind w:firstLine="284"/>
      </w:pPr>
    </w:p>
    <w:sectPr w:rsidR="00000000">
      <w:pgSz w:w="11907" w:h="16840" w:code="9"/>
      <w:pgMar w:top="1440" w:right="1797" w:bottom="1440" w:left="1797" w:header="720" w:footer="720" w:gutter="0"/>
      <w:paperSrc w:first="266" w:other="266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B70"/>
    <w:rsid w:val="004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4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80"/>
      <w:jc w:val="both"/>
      <w:textAlignment w:val="baseline"/>
    </w:pPr>
    <w:rPr>
      <w:noProof/>
      <w:sz w:val="48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left="760"/>
      <w:textAlignment w:val="baseline"/>
    </w:pPr>
    <w:rPr>
      <w:sz w:val="40"/>
      <w:lang w:val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noProof/>
      <w:sz w:val="28"/>
    </w:rPr>
  </w:style>
  <w:style w:type="paragraph" w:customStyle="1" w:styleId="FR5">
    <w:name w:val="FR5"/>
    <w:pPr>
      <w:widowControl w:val="0"/>
      <w:overflowPunct w:val="0"/>
      <w:autoSpaceDE w:val="0"/>
      <w:autoSpaceDN w:val="0"/>
      <w:adjustRightInd w:val="0"/>
      <w:spacing w:before="180"/>
      <w:ind w:left="200"/>
      <w:jc w:val="center"/>
      <w:textAlignment w:val="baseline"/>
    </w:pPr>
    <w:rPr>
      <w:sz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6291</Words>
  <Characters>35860</Characters>
  <Application>Microsoft Office Word</Application>
  <DocSecurity>0</DocSecurity>
  <Lines>298</Lines>
  <Paragraphs>84</Paragraphs>
  <ScaleCrop>false</ScaleCrop>
  <Company>Elcom Ltd</Company>
  <LinksUpToDate>false</LinksUpToDate>
  <CharactersWithSpaces>42067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624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