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36B8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20372-90  </w:t>
      </w:r>
    </w:p>
    <w:p w:rsidR="00000000" w:rsidRDefault="00FE36B8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692.522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   Группа Ж 33 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b w:val="0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БАЛКИ СТРОПИЛЬНЫЕ И ПОДСТРОПИЛЬНЫЕ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ЖЕЛЕЗОБЕТОННЫЕ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Reinfo</w:t>
      </w:r>
      <w:r>
        <w:rPr>
          <w:rFonts w:ascii="Times New Roman" w:hAnsi="Times New Roman"/>
          <w:sz w:val="20"/>
        </w:rPr>
        <w:t>rced concrete rafter and longitudinal beams.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2200 </w:t>
      </w:r>
    </w:p>
    <w:p w:rsidR="00000000" w:rsidRDefault="00FE36B8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    Дата введения 1991-07-01 </w:t>
      </w:r>
    </w:p>
    <w:p w:rsidR="00000000" w:rsidRDefault="00FE36B8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  А.Я. Розенблюм: Л.А. Кан (руководитель темы); Б.И. Логвинский; Г.А. Василевская; А.Г. Мишель; И.Г. Вокрачко; И.Н. Котов; С.Б. Ерусалимская; В.А. Якушин, канд. техн. наук; В.А. Клевцов, д-р техн. наук; М.Г.</w:t>
      </w:r>
      <w:r>
        <w:rPr>
          <w:rFonts w:ascii="Times New Roman" w:hAnsi="Times New Roman"/>
          <w:sz w:val="20"/>
        </w:rPr>
        <w:t xml:space="preserve"> Коревицкая, канд. техн. наук; Г.И. Бердичевский, д-р техн. наук; Л.В. Сасонко, канд. техн. наук; А.А. Ищенко, канд.техн. наук; М.А. Янкилевич, д-р техн. наук; А.Д. Либерман, канд. техн. наук; В.И. Пименова; Е.И. Серговская; В.И. Деньщиков 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16.10.90 № 87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20372-86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5781-82       </w:t>
            </w: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6727-80  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8829-85  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10060-87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10180-90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10181.0-81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10181.3-81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10884-81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10922-90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1.3.9; 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12730.0-78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3.4; 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12730.1-78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12730.5-84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13015.0-83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1.3.1; 1.3.11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13015.1-81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2.1;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13015.2-81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</w:t>
            </w:r>
            <w:r>
              <w:rPr>
                <w:rFonts w:ascii="Times New Roman" w:hAnsi="Times New Roman"/>
              </w:rPr>
              <w:t xml:space="preserve">15.4-84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13840-68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17623-87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17624-87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17625-83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ГОСТ 18105-86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22362-77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22690-88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22904-78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23009-78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23858-79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25820-83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26134-84   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26433.0-85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26433.1-89           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26633-85       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</w:tr>
    </w:tbl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железобетонные стропильные и подстропильные балки (далее - балки), изготовляемые из тяжелого или конструкционного легкого бетона и предназначаемые для покрытий зданий промышленных и сельскохозяйственных предприятий.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Балки применяют в соответствии с указаниями рабочих чертежей балок и дополнительными требованиями, оговариваемыми при заказе этих конструкций.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Балки следует изготовлять в соответствии с требованиями настоящег</w:t>
      </w:r>
      <w:r>
        <w:rPr>
          <w:rFonts w:ascii="Times New Roman" w:hAnsi="Times New Roman"/>
          <w:sz w:val="20"/>
        </w:rPr>
        <w:t>о стандарта и технологической документации, утвержденной предприятием-изготовителем, по рабочим чертежам серий 1.462.1-1/88, 1.462.1-3/89, 1.462.1-10/89, 1.462.1-16/88, 1.462.1-18, 1.862.1-2/88, 1.862.1-5. Допускается изготовлять балки, отличающиеся типами и размерами от приведенных в настоящем стандарте, по техническим условиям и соответствующим рабочим чертежам, утвержденным в установленном порядке.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 и размеры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Балки подразделяют на типы: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БСП - стропильные с параллельными пояс</w:t>
      </w:r>
      <w:r>
        <w:rPr>
          <w:rFonts w:ascii="Times New Roman" w:hAnsi="Times New Roman"/>
          <w:sz w:val="20"/>
        </w:rPr>
        <w:t>ами;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БСО - то же, односкатные;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БСД - то же, двускатные;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БП - подстропильные.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Форма и основные размеры балок должны соответствовать указанным в приложении.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Показатели расхода бетона и стали на балки должны соответствовать указанным в рабочих чертежах этих балок.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Балки изготовляют предварительно напряженными. Балки типоразмеров БСП6, БСП9, 2БСО6, 2БСО8, 2БСО9 допускается изготовлять с ненапрягаемой арматурой.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Балки изготовляют со строповочными отверстиями для подъема и монтажа. Доп</w:t>
      </w:r>
      <w:r>
        <w:rPr>
          <w:rFonts w:ascii="Times New Roman" w:hAnsi="Times New Roman"/>
          <w:sz w:val="20"/>
        </w:rPr>
        <w:t>ускается вместо строповочных отверстий предусматривать монтажные петли, выполненные в соответствии с указаниями рабочих чертежей этих балок.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1.2.6. Балки применяют в зданиях с учетом их предела огнестойкости, указанного в рабочих чертежах балок.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1.2.7. Балки обозначают марками в соответствии с требованиями ГОСТ 23009. Марка балки состоит из буквенно-цифровых групп, разделенных дефисами.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первой группе указывают обозначение типоразмера балки: арабскую цифру, обозначающую порядковый номер типоразмера балки (</w:t>
      </w:r>
      <w:r>
        <w:rPr>
          <w:rFonts w:ascii="Times New Roman" w:hAnsi="Times New Roman"/>
          <w:sz w:val="20"/>
        </w:rPr>
        <w:t>при необходимости), тип балки и перекрываемый ею пролет в метрах (округленный до целого числа);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указывают: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порядковый номер балки по несущей способности;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 напрягаемой арматуры (для предварительно напряженных балок);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бетона (для балок, изготовляемых из легкого бетона).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третьей группе, при необходимости, указывают дополнительные характеристики, отражающие особые условия применения балок (стойкость к воздействию агрессивных газообразных сред, сейсмическим воздействиям), а также обоз</w:t>
      </w:r>
      <w:r>
        <w:rPr>
          <w:rFonts w:ascii="Times New Roman" w:hAnsi="Times New Roman"/>
          <w:sz w:val="20"/>
        </w:rPr>
        <w:t>начение конструктивных особенностей балок (наличие дополнительных закладных изделий, отверстий и др.).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балки типоразмера 4БСД18, второй по несущей способности, изготовленной из тяжелого бетона, с напрягаемой арматурной сталью класса A-IV, с закладными изделиями для крепления плит: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4БСД18-2AIV-1 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То же, изготовленной из бетона нормальной проницаемости (Н) и предназначенной для применения в условиях воздействия слабоагрессивной газообразной среды: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4БСД18-2AIV-1Н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Примечание</w:t>
      </w:r>
      <w:r>
        <w:rPr>
          <w:rFonts w:ascii="Times New Roman" w:hAnsi="Times New Roman"/>
          <w:sz w:val="20"/>
        </w:rPr>
        <w:t>. Допускается принимать обозначение марок балок в соответствии с указаниями рабочих чертежей этих балок до их пересмотра.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Балки должны удовлетворять требованиям ГОСТ 13015.0: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(передаточной, отпускной и в проектном возрасте);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бетона, а для балок, эксплуатируемых в условиях воздействия агрессивной газообразной среды, также по водонепроницаемости бетона;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показателю фактической средней плотности легкого бетона;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</w:t>
      </w:r>
      <w:r>
        <w:rPr>
          <w:rFonts w:ascii="Times New Roman" w:hAnsi="Times New Roman"/>
          <w:sz w:val="20"/>
        </w:rPr>
        <w:t>м сталей для арматурных и закладных изделий, в том числе для монтажных петель;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толщине защитного слоя бетона до арматуры;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Балки должны удовлетворять установленным при проектировании требованиям по прочности, жесткости и трещиностойкости и при испытании их нагружением выдерживать контрольные нагрузки, указанные в рабочих чертежах этих балок.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Плиты следует изготовлять из тяжелого бетона по ГОСТ 26633 или конструкционного легкого бетона по ГОСТ 25820 классов или марок бе</w:t>
      </w:r>
      <w:r>
        <w:rPr>
          <w:rFonts w:ascii="Times New Roman" w:hAnsi="Times New Roman"/>
          <w:sz w:val="20"/>
        </w:rPr>
        <w:t>тона по прочности на сжатие, указанных в рабочих чертежах этих балок.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1.3.4. Усилия обжатия (отпуск натяжения арматуры) передают на бетон после достижения им требуемой передаточной прочности.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Нормируемая передаточная прочность предварительно напряженных балок в зависимости от класса или марки бетона, вида и класса напрягаемой арматурной стали должна соответствовать указанной в рабочих чертежах этих балок.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Нормируемая отпускная прочность бетона балок с напрягаемой арматурой должна быть равна нормируем</w:t>
      </w:r>
      <w:r>
        <w:rPr>
          <w:rFonts w:ascii="Times New Roman" w:hAnsi="Times New Roman"/>
          <w:sz w:val="20"/>
        </w:rPr>
        <w:t>ой передаточной прочности бетона, а для балок с ненапрягаемой арматурой - 50 % прочности бетона на сжатие, соответствующей его классу или марке.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поставке балок в холодный период года нормируемая отпускная прочность бетона балок может быть повышена до 90 % прочности бетона на сжатие, соответствующей его классу или марке, согласно требованиям рабочих чертежей этих балок.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Для армирования балок следует применять арматурную сталь следующих видов и классов: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напрягаемой арматуры - стержневую </w:t>
      </w:r>
      <w:r>
        <w:rPr>
          <w:rFonts w:ascii="Times New Roman" w:hAnsi="Times New Roman"/>
          <w:sz w:val="20"/>
        </w:rPr>
        <w:t>термомеханически упрочненную периодического профиля классов Aт-IVC, Aт-IVK, Aт-V, Aт-VCK по ГОСТ 10884; стержневую горячекатаную периодического профиля классов A-IV и A-V по ГОСТ 5781; арматурные канаты класса К-7 по ГОСТ 13840; стержневую класса A-IIIB, изготовляемую из арматурной стали класса A-III по ГОСТ 5781 упрочнением вытяжкой с контролем значения напряжения и предельного удлинения;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ненапрягаемой арматуры - стержневую горячекатаную периодического профиля класса A-III по ГОСТ 5781; стержнев</w:t>
      </w:r>
      <w:r>
        <w:rPr>
          <w:rFonts w:ascii="Times New Roman" w:hAnsi="Times New Roman"/>
          <w:sz w:val="20"/>
        </w:rPr>
        <w:t>ую термомеханически упрочненную периодического профиля классов Aт-IVC и Aт-IIIС по ГОСТ 10884 и арматурную проволоку обыкновенного периодического профиля класса Вр-1 по ГОСТ 6727.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 Значения напряжений в напрягаемой арматуре, контролируемые по окончании ее натяжения на упоры, должны соответствовать приведенным в рабочих чертежах балок.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действительных отклонений напряжений в напрягаемой арматуре не должны превышать при натяжении: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механическим способом в процентах: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+5, -10 - в стержневой ар</w:t>
      </w:r>
      <w:r>
        <w:rPr>
          <w:rFonts w:ascii="Times New Roman" w:hAnsi="Times New Roman"/>
        </w:rPr>
        <w:t>матуре;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±5      - в арматурных канатах;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электротермическим способом, МПа: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±80 - в   балках,  перекрывающих  пролет  6 м;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±75 - "        "                  "                     "     7,5 м;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±70 - "        "                  "                     "        9 м;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±60 - "        "                  "                     "      12 м;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±50 - "        "                  "                     "       18 м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 Форма и размеры арматурных и закладных изделий и их положение в балках должны</w:t>
      </w:r>
      <w:r>
        <w:rPr>
          <w:rFonts w:ascii="Times New Roman" w:hAnsi="Times New Roman"/>
          <w:sz w:val="20"/>
        </w:rPr>
        <w:t xml:space="preserve"> соответствовать указанным в рабочих чертежах этих балок.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 Сварные арматурные и закладные изделия должны удовлетворять требованиям ГОСТ 10922.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 Значения действительных отклонений геометрических параметров балок не должны превышать предельных, указанных в табл. 1.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lang w:val="en-US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Таблица 1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lang w:val="en-US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Наи</w:t>
            </w:r>
            <w:r>
              <w:rPr>
                <w:rFonts w:ascii="Times New Roman" w:hAnsi="Times New Roman"/>
              </w:rPr>
              <w:t>менование отклонения от геометрического параметра</w:t>
            </w: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геометрического параметра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Пред. откл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линейного размера</w:t>
            </w:r>
          </w:p>
        </w:tc>
        <w:tc>
          <w:tcPr>
            <w:tcW w:w="3402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балки</w:t>
            </w:r>
          </w:p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5960, 6250, 6260, 7800</w:t>
            </w:r>
          </w:p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8960, 9350, 9420, 11960, 12440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±10</w:t>
            </w: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17960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поперечного сечения балки: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1000 включ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1000 до 1600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пояса балки: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 включ.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250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 стенки и высота пояса балки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120 включ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120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Размер, определяющий положение: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отверстий в стенке балки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закладных издели</w:t>
            </w:r>
            <w:r>
              <w:rPr>
                <w:rFonts w:ascii="Times New Roman" w:hAnsi="Times New Roman"/>
              </w:rPr>
              <w:t>й: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плоскости балки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плоскости балки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Отклонение от прямолинейности реального профиля боковых поверхностей балки на всей ее длине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5960, 6250, 6260, 7800,</w:t>
            </w:r>
          </w:p>
          <w:p w:rsidR="00000000" w:rsidRDefault="00FE36B8">
            <w:pPr>
              <w:pStyle w:val="Preforma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8960, 9350, 9420, 11960</w:t>
            </w:r>
          </w:p>
          <w:p w:rsidR="00000000" w:rsidRDefault="00FE36B8">
            <w:pPr>
              <w:pStyle w:val="Preforma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12440</w:t>
            </w:r>
          </w:p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17960</w:t>
            </w:r>
          </w:p>
        </w:tc>
        <w:tc>
          <w:tcPr>
            <w:tcW w:w="34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both"/>
              <w:rPr>
                <w:rFonts w:ascii="Times New Roman" w:hAnsi="Times New Roman"/>
                <w:lang w:val="en-US"/>
              </w:rPr>
            </w:pPr>
          </w:p>
          <w:p w:rsidR="00000000" w:rsidRDefault="00FE36B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 Требования к качеству поверхностей и внешнему виду балок - по ГОСТ 13015.0. При этом качество бетонной поверхности балок должно удовлетворять требованиям, установленным для категорий: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A6 - лицевой;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A7 - нелицевой, не видимой в условиях эксплуатации.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изготовителя с потр</w:t>
      </w:r>
      <w:r>
        <w:rPr>
          <w:rFonts w:ascii="Times New Roman" w:hAnsi="Times New Roman"/>
          <w:sz w:val="20"/>
        </w:rPr>
        <w:t>ебителем лицевые поверхности балок могут быть категории A3.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1.3.12. Концы напрягаемой арматуры не должны выступать за торцевые поверхности балок более чем на 10 мм и должны быть защищены слоем цементно-песчаного раствора для битумного лака.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1.3.13. В бетоне балок не допускаются трещины, за исключением: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усадочных и других поверхностных технологических, ширина которых не должна превышать 0,1 мм в предварительно напряженных балках и 0,2 мм в балках с ненапрягаемой арматурой;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поперечных в верхнем поясе от усили</w:t>
      </w:r>
      <w:r>
        <w:rPr>
          <w:rFonts w:ascii="Times New Roman" w:hAnsi="Times New Roman"/>
          <w:sz w:val="20"/>
        </w:rPr>
        <w:t>я предварительного напряжения шириной раскрытия не более 0,2 мм и глубиной не более 1/3 высоты сечения.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Маркировка балок - ГОСТ 13015.2.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Маркировочные надписи и знаки следует наносить на боковую или торцевую грань балки.</w:t>
      </w:r>
    </w:p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Приемка балок - ГОСТ 13015.1 и настоящему стандарту. При этом балки принимают: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периодических испытаний - по показателям прочности, жесткости и трещиностойкости балок, морозостойкости бетона, пористости (объему межзерновых пустот) уплот</w:t>
      </w:r>
      <w:r>
        <w:rPr>
          <w:rFonts w:ascii="Times New Roman" w:hAnsi="Times New Roman"/>
          <w:sz w:val="20"/>
        </w:rPr>
        <w:t>ненной смеси легкого бетона, а также по водонепроницаемости бетона балок, предназначенных для эксплуатации в условиях воздействия агрессивной газообразной среды;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приемосдаточных испытаний - по показателям прочности бетона (классу бетона по прочности на сжатие, передаточной и отпускной прочности), средней плотности легкого бетона, соответствия арматурных и закладных изделий рабочим чертежам, прочности сварных соединений, точности геометрических параметров, толщины защитного слоя бетона до арма</w:t>
      </w:r>
      <w:r>
        <w:rPr>
          <w:rFonts w:ascii="Times New Roman" w:hAnsi="Times New Roman"/>
          <w:sz w:val="20"/>
        </w:rPr>
        <w:t>туры, ширины раскрытия технологических трещин, категории бетонных поверхностей.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Периодические испытания балок нагружением для контроля их прочности, жесткости и трещиностойкости проводят перед началом массового изготовления балок и в дальнейшем - при внесении в них конструктивных изменений или изменении технологии изготовления в соответствии с требованиями ГОСТ 13015.1.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процессе серийного производства балок испытания нагружением проводят не реже одного раза в год. Испытания стропильных балок длиной д</w:t>
      </w:r>
      <w:r>
        <w:rPr>
          <w:rFonts w:ascii="Times New Roman" w:hAnsi="Times New Roman"/>
          <w:sz w:val="20"/>
        </w:rPr>
        <w:t>о 7800 мм включительно в процессе их серийного производства допускается не проводить, если осуществляется неразрушающий контроль в соответствии с ГОСТ 13015.1.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Пористость (объем межзерновых пустот) уплотненной смеси легкого бетона следует определять не реже одного раза в месяц.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Балки по показателям точности геометрических параметров, толщины защитного слоя бетона до арматуры, категории бетонной поверхности и ширины раскрытия поверхностных технологических трещин принимают по результатам выборочного</w:t>
      </w:r>
      <w:r>
        <w:rPr>
          <w:rFonts w:ascii="Times New Roman" w:hAnsi="Times New Roman"/>
          <w:sz w:val="20"/>
        </w:rPr>
        <w:t xml:space="preserve"> контроля.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 документе о качестве балок дополнительно указывают марку бетона по морозостойкости, а для балок, предназначенных для эксплуатации в условиях воздействия агрессивных газообразных сред, - марку бетона по водонепроницаемости (если эти показатели оговорены в заказе на изготовление балок).</w:t>
      </w:r>
    </w:p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Испытание балок нагружением для контроля их прочности, жесткости и трещиностойкости следует проводить в соответствии с требованиями ГОСТ 8829 и рабочих чертежей на эти балки.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</w:t>
      </w:r>
      <w:r>
        <w:rPr>
          <w:rFonts w:ascii="Times New Roman" w:hAnsi="Times New Roman"/>
          <w:sz w:val="20"/>
        </w:rPr>
        <w:t>очность бетона балок определяют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проверке прочности бетона методами неразрушающего контроля фактическую передаточную и отпускную прочность бетона на сжатие определяют ультразвуковым методом по ГОСТ 17624 или приборами механического действия по ГОСТ 22690. Допускается применение других методов неразрушающего контроля, предусмотренных стандартами на методы контроля прочности</w:t>
      </w:r>
      <w:r>
        <w:rPr>
          <w:rFonts w:ascii="Times New Roman" w:hAnsi="Times New Roman"/>
          <w:sz w:val="20"/>
        </w:rPr>
        <w:t xml:space="preserve"> бетона.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Морозостойкость бетона балок определяют по ГОСТ 10060 или ультразвуковым методом по ГОСТ 26134 на серии образцов, изготовленных из бетонной смеси рабочего состава.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Водонепроницаемость бетона балок, предназначенных для эксплуатации в условиях воздействия агрессивной газообразной среды, определяют по ГОСТ 12730.0 и ГОСТ 12730.5.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Пористость уплотненной смеси легкого бетона определяют по ГОСТ 10181.0 и ГОСТ 10181.3.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Среднюю плотность легкого бетона балок определяют по ГОСТ 12730.0, </w:t>
      </w:r>
      <w:r>
        <w:rPr>
          <w:rFonts w:ascii="Times New Roman" w:hAnsi="Times New Roman"/>
          <w:sz w:val="20"/>
        </w:rPr>
        <w:t>ГОСТ 12730.1 или радиоизотопным методом по ГОСТ 17623.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Контроль сварных арматурных и закладных изделий - по ГОСТ 10922 и ГОСТ 23858.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Силу натяжения арматуры, контролируемую по окончании натяжения, следует измерять по ГОСТ 22362.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Размеры и отклонения от прямолинейности, ширину и глубину технологических трещин, размеры раковин, наплывов и околов бетона балок следует проверять по ГОСТ 26433.0 и  ГОСТ 26433.1.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Размеры и положение арматурных и закладных изделий, а также толщину защитного сло</w:t>
      </w:r>
      <w:r>
        <w:rPr>
          <w:rFonts w:ascii="Times New Roman" w:hAnsi="Times New Roman"/>
          <w:sz w:val="20"/>
        </w:rPr>
        <w:t>я бетона до арматуры следует определять по ГОСТ 17625 и ГОСТ 22904.</w:t>
      </w:r>
    </w:p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Транспортировать и хранить балки следует в соответствии с требованиями ГОСТ 13015.4, рабочих чертежей этих балок и настоящего стандарта.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Балки следует транспортировать и хранить в рабочем положении, установив на инвентарные подкладки.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Подкладки следует устанавливать в соответствии со схемами, приведенными в рабочих чертежах балок. Расстояние между рядами балок устанавливают с учетом возможности за</w:t>
      </w:r>
      <w:r>
        <w:rPr>
          <w:rFonts w:ascii="Times New Roman" w:hAnsi="Times New Roman"/>
          <w:sz w:val="20"/>
        </w:rPr>
        <w:t>хвата каждой балки при погрузочно-разгрузочных работах.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подкладок должна быть не менее 40 мм, ширина - не менее 150 мм, длина - на 100 мм больше ширины балки в опорном сечении.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Подъем балок следует осуществлять с применением специальных траверс с захватом за строповочные отверстия балок или монтажные петли.</w:t>
      </w:r>
    </w:p>
    <w:p w:rsidR="00000000" w:rsidRDefault="00FE36B8">
      <w:pPr>
        <w:pStyle w:val="Preformat"/>
        <w:ind w:firstLine="284"/>
        <w:jc w:val="right"/>
        <w:rPr>
          <w:rFonts w:ascii="Times New Roman" w:hAnsi="Times New Roman"/>
          <w:lang w:val="en-US"/>
        </w:rPr>
      </w:pPr>
    </w:p>
    <w:p w:rsidR="00000000" w:rsidRDefault="00FE36B8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FE36B8">
      <w:pPr>
        <w:pStyle w:val="Preformat"/>
        <w:ind w:firstLine="284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Обязательное</w:t>
      </w:r>
    </w:p>
    <w:p w:rsidR="00000000" w:rsidRDefault="00FE36B8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ФОРМА И ОСНОВНЫЕ РАЗМЕРЫ БАЛОК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основные размеры балок приведены: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типы БСП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 -на черт. 1, 2 и в табл. 2;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 xml:space="preserve">  "      БСО -  "    "     3-9 и в табл. 3</w:t>
      </w:r>
      <w:r>
        <w:rPr>
          <w:rFonts w:ascii="Times New Roman" w:hAnsi="Times New Roman"/>
          <w:sz w:val="20"/>
        </w:rPr>
        <w:t>, 4;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 xml:space="preserve">  "      БСД -  "    "    10-12 и в табл. 5-7;</w:t>
      </w:r>
    </w:p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 xml:space="preserve">  "</w:t>
      </w:r>
      <w:r>
        <w:rPr>
          <w:rFonts w:ascii="Times New Roman" w:hAnsi="Times New Roman"/>
          <w:sz w:val="20"/>
          <w:lang w:val="en-US"/>
        </w:rPr>
        <w:t xml:space="preserve">    </w:t>
      </w:r>
      <w:r>
        <w:rPr>
          <w:rFonts w:ascii="Times New Roman" w:hAnsi="Times New Roman"/>
          <w:sz w:val="20"/>
        </w:rPr>
        <w:t xml:space="preserve">   БП  -  "  </w:t>
      </w:r>
      <w:r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>"</w:t>
      </w:r>
      <w:r>
        <w:rPr>
          <w:rFonts w:ascii="Times New Roman" w:hAnsi="Times New Roman"/>
          <w:sz w:val="20"/>
          <w:lang w:val="en-US"/>
        </w:rPr>
        <w:t xml:space="preserve">    </w:t>
      </w:r>
      <w:r>
        <w:rPr>
          <w:rFonts w:ascii="Times New Roman" w:hAnsi="Times New Roman"/>
          <w:sz w:val="20"/>
        </w:rPr>
        <w:t xml:space="preserve"> 13-15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Балка типоразмера БСП6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1.462.1-10/89)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136.5pt">
            <v:imagedata r:id="rId4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Балки типоразмеров БСП9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1.462.1-10/89),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1БСП12, 2БСП12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1.462.1-1/88)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83.25pt;height:144.75pt">
            <v:imagedata r:id="rId5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Типоразмер  балки</w:t>
            </w:r>
          </w:p>
        </w:tc>
        <w:tc>
          <w:tcPr>
            <w:tcW w:w="70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балки,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  <w:i/>
                <w:vertAlign w:val="subscript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  <w:i/>
                <w:vertAlign w:val="subscript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БСП9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1БСП12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771" w:type="dxa"/>
            <w:tcBorders>
              <w:top w:val="nil"/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2БСП12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771" w:type="dxa"/>
            <w:tcBorders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FE36B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Балка типоразмера 1БСО6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1.862.1-5)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31.25pt;height:178.5pt">
            <v:imagedata r:id="rId6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Балки типоразмеров 1БСО8, 1БСО9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1.862.1-5)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74pt;height:176.25pt">
            <v:imagedata r:id="rId7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086"/>
        <w:gridCol w:w="1161"/>
        <w:gridCol w:w="1199"/>
        <w:gridCol w:w="15"/>
        <w:gridCol w:w="1111"/>
        <w:gridCol w:w="8"/>
        <w:gridCol w:w="993"/>
        <w:gridCol w:w="7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Типоразмер </w:t>
            </w:r>
            <w:r>
              <w:rPr>
                <w:rFonts w:ascii="Times New Roman" w:hAnsi="Times New Roman"/>
              </w:rPr>
              <w:t>балки</w:t>
            </w:r>
          </w:p>
        </w:tc>
        <w:tc>
          <w:tcPr>
            <w:tcW w:w="74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балки,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</w:t>
            </w:r>
            <w:r>
              <w:rPr>
                <w:rFonts w:ascii="Times New Roman" w:hAnsi="Times New Roman"/>
                <w:i/>
                <w:vertAlign w:val="subscript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</w:t>
            </w:r>
            <w:r>
              <w:rPr>
                <w:rFonts w:ascii="Times New Roman" w:hAnsi="Times New Roman"/>
                <w:i/>
                <w:vertAlign w:val="subscript"/>
              </w:rPr>
              <w:t>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  <w:i/>
                <w:vertAlign w:val="subscrip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  <w:i/>
                <w:vertAlign w:val="subscript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1БСO8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7800 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3845 </w:t>
            </w: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215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630 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50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100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1БСO9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9350 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4685 </w:t>
            </w: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280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1000 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70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160 </w:t>
            </w:r>
          </w:p>
        </w:tc>
        <w:tc>
          <w:tcPr>
            <w:tcW w:w="774" w:type="dxa"/>
            <w:tcBorders>
              <w:top w:val="nil"/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Балка типоразмера 1БСО12    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1.862.1-5)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440.25pt;height:142.5pt">
            <v:imagedata r:id="rId8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Балка типоразмера 2БСО6    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1.862.1-2/88)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78.75pt;height:165pt">
            <v:imagedata r:id="rId9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Балка типоразмера 2БСО8    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1.862.1-2/88)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434.25pt;height:183.75pt">
            <v:imagedata r:id="rId10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 . 7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Балка типоразмера 2БСО9    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1.862.1-2/88)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440.25pt;height:171.75pt">
            <v:imagedata r:id="rId11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8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Балки типоразмеров 2БСО12, 3БСО12    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1.462.1-1/88)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441.75pt;height:159pt">
            <v:imagedata r:id="rId12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9 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Типоразмер  балки</w:t>
            </w: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балки,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</w:p>
        </w:tc>
        <w:tc>
          <w:tcPr>
            <w:tcW w:w="2214" w:type="dxa"/>
            <w:tcBorders>
              <w:left w:val="nil"/>
              <w:bottom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2БСО12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3БСО12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Балки типоразмеров 1БСД12, 2БСД12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1.462.1-3/89)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479.25pt;height:153.75pt">
            <v:imagedata r:id="rId13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10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Типоразмер балки</w:t>
            </w:r>
          </w:p>
        </w:tc>
        <w:tc>
          <w:tcPr>
            <w:tcW w:w="760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балки,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a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</w:p>
        </w:tc>
        <w:tc>
          <w:tcPr>
            <w:tcW w:w="9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a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</w:p>
        </w:tc>
        <w:tc>
          <w:tcPr>
            <w:tcW w:w="9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a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</w:p>
        </w:tc>
        <w:tc>
          <w:tcPr>
            <w:tcW w:w="9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a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</w:p>
        </w:tc>
        <w:tc>
          <w:tcPr>
            <w:tcW w:w="9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a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5</w:t>
            </w:r>
          </w:p>
        </w:tc>
        <w:tc>
          <w:tcPr>
            <w:tcW w:w="9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a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6</w:t>
            </w:r>
          </w:p>
        </w:tc>
        <w:tc>
          <w:tcPr>
            <w:tcW w:w="9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</w:p>
        </w:tc>
        <w:tc>
          <w:tcPr>
            <w:tcW w:w="951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1БСД12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2БСД12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</w:tr>
    </w:tbl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Балки типоразмеров 1БСД18, 2БСД18, 3БСД18    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1.462.1-3/89)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484.5pt;height:146.25pt">
            <v:imagedata r:id="rId14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11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Балки типоразмеров 4БСД18, 5БСД18, 6БСД18, 7БСД18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(серия 1.462.1-16/88)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3125" w:dyaOrig="4605">
          <v:shape id="_x0000_i1036" type="#_x0000_t75" style="width:415.5pt;height:145.5pt" o:ole="">
            <v:imagedata r:id="rId15" o:title=""/>
          </v:shape>
          <o:OLEObject Type="Embed" ProgID="MSPhotoEd.3" ShapeID="_x0000_i1036" DrawAspect="Content" ObjectID="_1427200167" r:id="rId16"/>
        </w:obje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12 </w:t>
      </w:r>
    </w:p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Таблица 6</w:t>
      </w: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Типоразмер балки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Размер балки,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1БСД18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2БСД18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3БСД18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</w:tbl>
    <w:p w:rsidR="00000000" w:rsidRDefault="00FE36B8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Типоразмер балки</w:t>
            </w:r>
          </w:p>
        </w:tc>
        <w:tc>
          <w:tcPr>
            <w:tcW w:w="759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балки,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6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l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</w:p>
        </w:tc>
        <w:tc>
          <w:tcPr>
            <w:tcW w:w="126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126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</w:p>
        </w:tc>
        <w:tc>
          <w:tcPr>
            <w:tcW w:w="126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tcBorders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4БСД18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5БСД18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|80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6БСД18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7БСД18</w:t>
            </w:r>
          </w:p>
        </w:tc>
        <w:tc>
          <w:tcPr>
            <w:tcW w:w="12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2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2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E36B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 w:rsidR="00000000" w:rsidRDefault="00FE36B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Балка типоразмера 1БП6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1.462.1-18)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365.25pt;height:142.5pt">
            <v:imagedata r:id="rId17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13</w:t>
      </w: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Балка типоразмера 2БП6    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1.462.1-18)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363.75pt;height:177pt">
            <v:imagedata r:id="rId18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14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E36B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Балка типоразмера БП12     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1.462.1-18)</w: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414.75pt;height:175.5pt">
            <v:imagedata r:id="rId19" o:title=""/>
          </v:shape>
        </w:pict>
      </w:r>
    </w:p>
    <w:p w:rsidR="00000000" w:rsidRDefault="00FE36B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15 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FE36B8">
      <w:pPr>
        <w:pStyle w:val="a3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СОДЕРЖАНИЕ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(обязат</w:t>
      </w:r>
      <w:r>
        <w:rPr>
          <w:rFonts w:ascii="Times New Roman" w:hAnsi="Times New Roman"/>
        </w:rPr>
        <w:t xml:space="preserve">ельное). ФОРМА И ОСНОВНЫЕ РАЗМЕРЫ БАЛОК 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Балка типоразмера БСП6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Балки типоразмеров БСП9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Балка типоразмера 1БСО6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Балки типоразмеров 1БСО8, 1БСО9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Балка типоразмера 1БСО12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Балка типоразмера 2БСО6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Балка типоразмера 2БСО8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Балка типоразмера 2БСО9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Балки типоразмеров 2БСО12, 3БСО12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Балки типоразмеров 1БСД12, 2БСД12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Балки типоразмеров 1БСД18, 2БСД18, 3БСД18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Балки типоразмеров 4БСД18, 5БСД18, 6БСД18, 7БСД18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Балка типоразмера 1БП6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Балка типоразмера 2БП6</w:t>
      </w:r>
    </w:p>
    <w:p w:rsidR="00000000" w:rsidRDefault="00FE36B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Балка типоразмера БП12</w:t>
      </w:r>
    </w:p>
    <w:p w:rsidR="00000000" w:rsidRDefault="00FE36B8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6B8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4.jpeg" Type="http://schemas.openxmlformats.org/officeDocument/2006/relationships/image"/><Relationship Id="rId3" Target="webSettings.xml" Type="http://schemas.openxmlformats.org/officeDocument/2006/relationships/webSettings"/><Relationship Id="rId21" Target="theme/theme1.xml" Type="http://schemas.openxmlformats.org/officeDocument/2006/relationships/theme"/><Relationship Id="rId7" Target="media/image4.png" Type="http://schemas.openxmlformats.org/officeDocument/2006/relationships/image"/><Relationship Id="rId12" Target="media/image9.jpeg" Type="http://schemas.openxmlformats.org/officeDocument/2006/relationships/image"/><Relationship Id="rId17" Target="media/image13.jpeg" Type="http://schemas.openxmlformats.org/officeDocument/2006/relationships/image"/><Relationship Id="rId2" Target="settings.xml" Type="http://schemas.openxmlformats.org/officeDocument/2006/relationships/settings"/><Relationship Id="rId16" Target="embeddings/oleObject1.bin" Type="http://schemas.openxmlformats.org/officeDocument/2006/relationships/oleObject"/><Relationship Id="rId20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pn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media/image15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2783</Words>
  <Characters>15864</Characters>
  <Application>Microsoft Office Word</Application>
  <DocSecurity>0</DocSecurity>
  <Lines>132</Lines>
  <Paragraphs>37</Paragraphs>
  <ScaleCrop>false</ScaleCrop>
  <Company>Elcom Ltd</Company>
  <LinksUpToDate>false</LinksUpToDate>
  <CharactersWithSpaces>18610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20372-90  </dc:title>
  <dc:subject/>
  <dc:creator>CNTI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445330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