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  <w:bookmarkStart w:id="0" w:name="_GoBack"/>
      <w:bookmarkEnd w:id="0"/>
    </w:p>
    <w:p w:rsidR="00000000" w:rsidRDefault="009B04A2">
      <w:pPr>
        <w:pStyle w:val="A10"/>
        <w:tabs>
          <w:tab w:val="clear" w:pos="959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ГОСТ 21.001-93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  <w:r>
        <w:rPr>
          <w:rFonts w:ascii="Times New Roman" w:hAnsi="Times New Roman"/>
        </w:rPr>
        <w:t>Группа Ж01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pStyle w:val="H3"/>
        <w:jc w:val="center"/>
      </w:pPr>
      <w:r>
        <w:t>МЕЖГОСУДАРСТВЕННЫЙ СТАНДАРТ</w:t>
      </w:r>
      <w:r>
        <w:br/>
      </w:r>
      <w:r>
        <w:br/>
      </w:r>
      <w:r>
        <w:br/>
        <w:t>СИСТЕМА ПРОЕКТНОЙ ДОКУМЕНТАЦИИ ДЛЯ СТРОИТЕЛЬСТВА</w:t>
      </w:r>
      <w:r>
        <w:br/>
        <w:t>Общие положения</w:t>
      </w:r>
      <w:r>
        <w:br/>
      </w:r>
      <w:r>
        <w:br/>
        <w:t>System of design documents for construction.</w:t>
      </w:r>
      <w:r>
        <w:br/>
        <w:t>General principles</w:t>
      </w:r>
      <w:r>
        <w:br/>
      </w:r>
      <w:r>
        <w:br/>
      </w:r>
    </w:p>
    <w:p w:rsidR="00000000" w:rsidRDefault="009B04A2">
      <w:r>
        <w:t xml:space="preserve">ОКСТУ 0021 </w:t>
      </w:r>
    </w:p>
    <w:p w:rsidR="00000000" w:rsidRDefault="009B04A2">
      <w:pPr>
        <w:jc w:val="right"/>
      </w:pPr>
      <w:r>
        <w:t>                                                   </w:t>
      </w:r>
      <w:r>
        <w:t>                                                              </w:t>
      </w:r>
      <w:r>
        <w:t xml:space="preserve">Дата введения 01.12.94 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pStyle w:val="H3"/>
        <w:jc w:val="center"/>
      </w:pPr>
      <w:r>
        <w:t>Предисловие</w:t>
      </w:r>
      <w:r>
        <w:br/>
      </w:r>
    </w:p>
    <w:p w:rsidR="00000000" w:rsidRDefault="009B04A2">
      <w:pPr>
        <w:jc w:val="both"/>
      </w:pPr>
      <w:r>
        <w:t>     1 РАЗРАБОТАН Государственным предприятием Центром методологии, нормиров</w:t>
      </w:r>
      <w:r>
        <w:t>а</w:t>
      </w:r>
      <w:r>
        <w:t>ния и стандартизации в строительстве (ГП ЦНС)</w:t>
      </w:r>
    </w:p>
    <w:p w:rsidR="00000000" w:rsidRDefault="009B04A2">
      <w:pPr>
        <w:jc w:val="both"/>
      </w:pPr>
      <w:r>
        <w:br/>
        <w:t xml:space="preserve">     ВНЕСЕН Минстроем России 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r>
        <w:t>     2 ПРИНЯТ Межгосударственной научно-технической комиссией по стандартизации и техническому нормированию в строительстве 10 ноября 1993 г.</w:t>
      </w:r>
    </w:p>
    <w:p w:rsidR="00000000" w:rsidRDefault="009B04A2">
      <w:r>
        <w:br/>
        <w:t>    За принятие стандарта проголосовали:</w:t>
      </w:r>
      <w:r>
        <w:br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9B04A2">
            <w:r>
              <w:t>Наименование государства</w:t>
            </w:r>
          </w:p>
        </w:tc>
        <w:tc>
          <w:tcPr>
            <w:tcW w:w="4788" w:type="dxa"/>
          </w:tcPr>
          <w:p w:rsidR="00000000" w:rsidRDefault="009B04A2">
            <w:r>
              <w:t>Наименование органа  государственного управлен</w:t>
            </w:r>
            <w:r>
              <w:t>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9B04A2">
            <w:r>
              <w:t>Азербайджанская Республика</w:t>
            </w:r>
          </w:p>
        </w:tc>
        <w:tc>
          <w:tcPr>
            <w:tcW w:w="4788" w:type="dxa"/>
          </w:tcPr>
          <w:p w:rsidR="00000000" w:rsidRDefault="009B04A2">
            <w:r>
              <w:t>Госстрой Азербайджанской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9B04A2">
            <w:r>
              <w:t>Республика Армения</w:t>
            </w:r>
          </w:p>
        </w:tc>
        <w:tc>
          <w:tcPr>
            <w:tcW w:w="4788" w:type="dxa"/>
          </w:tcPr>
          <w:p w:rsidR="00000000" w:rsidRDefault="009B04A2">
            <w:r>
              <w:t>Госупрархитектуры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9B04A2">
            <w:r>
              <w:t>Республика Беларусь</w:t>
            </w:r>
          </w:p>
        </w:tc>
        <w:tc>
          <w:tcPr>
            <w:tcW w:w="4788" w:type="dxa"/>
          </w:tcPr>
          <w:p w:rsidR="00000000" w:rsidRDefault="009B04A2">
            <w:r>
              <w:t>Госстрой Республики Беларусь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9B04A2">
            <w:r>
              <w:t>Республика Казахстан</w:t>
            </w:r>
          </w:p>
        </w:tc>
        <w:tc>
          <w:tcPr>
            <w:tcW w:w="4788" w:type="dxa"/>
          </w:tcPr>
          <w:p w:rsidR="00000000" w:rsidRDefault="009B04A2">
            <w:r>
              <w:t>Минстрой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9B04A2">
            <w:r>
              <w:lastRenderedPageBreak/>
              <w:t>Кыргызская Республика</w:t>
            </w:r>
          </w:p>
        </w:tc>
        <w:tc>
          <w:tcPr>
            <w:tcW w:w="4788" w:type="dxa"/>
          </w:tcPr>
          <w:p w:rsidR="00000000" w:rsidRDefault="009B04A2">
            <w:r>
              <w:t>Госстрой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9B04A2">
            <w:r>
              <w:t>Российская Федерация</w:t>
            </w:r>
          </w:p>
        </w:tc>
        <w:tc>
          <w:tcPr>
            <w:tcW w:w="4788" w:type="dxa"/>
          </w:tcPr>
          <w:p w:rsidR="00000000" w:rsidRDefault="009B04A2">
            <w:r>
              <w:t>Минстрой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9B04A2">
            <w:r>
              <w:t>Республика Таджикистан</w:t>
            </w:r>
          </w:p>
        </w:tc>
        <w:tc>
          <w:tcPr>
            <w:tcW w:w="4788" w:type="dxa"/>
          </w:tcPr>
          <w:p w:rsidR="00000000" w:rsidRDefault="009B04A2">
            <w: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9B04A2">
            <w:r>
              <w:t>Украина</w:t>
            </w:r>
          </w:p>
        </w:tc>
        <w:tc>
          <w:tcPr>
            <w:tcW w:w="4788" w:type="dxa"/>
          </w:tcPr>
          <w:p w:rsidR="00000000" w:rsidRDefault="009B04A2">
            <w:r>
              <w:t>Минстройархитектуры Украины</w:t>
            </w:r>
          </w:p>
        </w:tc>
      </w:tr>
    </w:tbl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jc w:val="both"/>
      </w:pPr>
      <w:r>
        <w:t>     3 ВЗАМЕН ГОСТ 21.001-77</w:t>
      </w:r>
    </w:p>
    <w:p w:rsidR="00000000" w:rsidRDefault="009B04A2">
      <w:pPr>
        <w:jc w:val="both"/>
      </w:pPr>
      <w:r>
        <w:br/>
        <w:t>    4 ВВЕДЕН В ДЕЙСТВИЕ с 1 декабря 1994 г. в качеств</w:t>
      </w:r>
      <w:r>
        <w:t>е государственного стандарта Российской Федерации постановлением Минстроя России от 12 августа 1994 г. N 18-11</w:t>
      </w:r>
    </w:p>
    <w:p w:rsidR="00000000" w:rsidRDefault="009B04A2">
      <w:pPr>
        <w:jc w:val="both"/>
      </w:pPr>
      <w:r>
        <w:br/>
      </w:r>
    </w:p>
    <w:p w:rsidR="00000000" w:rsidRDefault="009B04A2">
      <w:pPr>
        <w:pStyle w:val="H3"/>
        <w:jc w:val="center"/>
      </w:pPr>
      <w:r>
        <w:t>1 Область применения</w:t>
      </w:r>
      <w:r>
        <w:br/>
      </w:r>
      <w:r>
        <w:br/>
      </w:r>
    </w:p>
    <w:p w:rsidR="00000000" w:rsidRDefault="009B04A2">
      <w:pPr>
        <w:jc w:val="both"/>
      </w:pPr>
      <w:r>
        <w:t>     Настоящий стандарт устанавливает общие положения по назначению Системы проек</w:t>
      </w:r>
      <w:r>
        <w:t>т</w:t>
      </w:r>
      <w:r>
        <w:t>ной документации для строительства (СПДС), состав классификационных групп и прав</w:t>
      </w:r>
      <w:r>
        <w:t>и</w:t>
      </w:r>
      <w:r>
        <w:t>ла обозначения стандартов СПДС, распространяемых на все виды проектной документ</w:t>
      </w:r>
      <w:r>
        <w:t>а</w:t>
      </w:r>
      <w:r>
        <w:t>ции для строительства.</w:t>
      </w:r>
    </w:p>
    <w:p w:rsidR="00000000" w:rsidRDefault="009B04A2">
      <w:pPr>
        <w:jc w:val="both"/>
      </w:pPr>
      <w:r>
        <w:br/>
      </w:r>
    </w:p>
    <w:p w:rsidR="00000000" w:rsidRDefault="009B04A2">
      <w:pPr>
        <w:pStyle w:val="H3"/>
        <w:jc w:val="center"/>
      </w:pPr>
      <w:r>
        <w:t>2 Назначение стандартов СПДС</w:t>
      </w:r>
      <w:r>
        <w:br/>
      </w:r>
      <w:r>
        <w:br/>
      </w:r>
    </w:p>
    <w:p w:rsidR="00000000" w:rsidRDefault="009B04A2">
      <w:pPr>
        <w:jc w:val="both"/>
      </w:pPr>
      <w:r>
        <w:t>     2.1 Система проектной документации для строительства - комплекс норматив</w:t>
      </w:r>
      <w:r>
        <w:t>ных орг</w:t>
      </w:r>
      <w:r>
        <w:t>а</w:t>
      </w:r>
      <w:r>
        <w:t>низационно-методических документов, устанавливающих общетехнические требования, необходимые для разработки, учета, хранения и применения проектной документации для строительства объектов различного назначения.</w:t>
      </w:r>
    </w:p>
    <w:p w:rsidR="00000000" w:rsidRDefault="009B04A2">
      <w:pPr>
        <w:jc w:val="both"/>
      </w:pPr>
      <w:r>
        <w:br/>
        <w:t>    2.2 Основное назначение стандартов СПДС заключается в установлении единых правил выполнения проектной документации для строительства, обеспечивающих:</w:t>
      </w:r>
    </w:p>
    <w:p w:rsidR="00000000" w:rsidRDefault="009B04A2" w:rsidP="009B04A2">
      <w:pPr>
        <w:numPr>
          <w:ilvl w:val="0"/>
          <w:numId w:val="1"/>
        </w:numPr>
        <w:tabs>
          <w:tab w:val="left" w:pos="600"/>
        </w:tabs>
        <w:ind w:left="600" w:hanging="360"/>
        <w:jc w:val="both"/>
      </w:pPr>
      <w:r>
        <w:t>унификацию состава, правил оформления и обращения документации с учетом назначения проектных документов;</w:t>
      </w:r>
    </w:p>
    <w:p w:rsidR="00000000" w:rsidRDefault="009B04A2" w:rsidP="009B04A2">
      <w:pPr>
        <w:numPr>
          <w:ilvl w:val="0"/>
          <w:numId w:val="1"/>
        </w:numPr>
        <w:tabs>
          <w:tab w:val="left" w:pos="600"/>
        </w:tabs>
        <w:ind w:left="600" w:hanging="360"/>
        <w:jc w:val="both"/>
      </w:pPr>
      <w:r>
        <w:t>комплектность выдаваемой заказчику</w:t>
      </w:r>
      <w:r>
        <w:t xml:space="preserve"> документации с учетом специализации по</w:t>
      </w:r>
      <w:r>
        <w:t>д</w:t>
      </w:r>
      <w:r>
        <w:t>рядчика, вида и назначения используемых им документов;</w:t>
      </w:r>
    </w:p>
    <w:p w:rsidR="00000000" w:rsidRDefault="009B04A2" w:rsidP="009B04A2">
      <w:pPr>
        <w:numPr>
          <w:ilvl w:val="0"/>
          <w:numId w:val="1"/>
        </w:numPr>
        <w:tabs>
          <w:tab w:val="left" w:pos="600"/>
        </w:tabs>
        <w:ind w:left="600" w:hanging="360"/>
        <w:jc w:val="both"/>
      </w:pPr>
      <w:r>
        <w:t>максимально необходимый объем документации для производства строительно-монтажных работ;</w:t>
      </w:r>
    </w:p>
    <w:p w:rsidR="00000000" w:rsidRDefault="009B04A2" w:rsidP="009B04A2">
      <w:pPr>
        <w:numPr>
          <w:ilvl w:val="0"/>
          <w:numId w:val="1"/>
        </w:numPr>
        <w:tabs>
          <w:tab w:val="left" w:pos="600"/>
        </w:tabs>
        <w:ind w:left="600" w:hanging="360"/>
        <w:jc w:val="both"/>
      </w:pPr>
      <w:r>
        <w:lastRenderedPageBreak/>
        <w:t>общие правила выполнения чертежей и текстовых документов независимо от назначения проектируемого объекта и вида проектных решений;</w:t>
      </w:r>
    </w:p>
    <w:p w:rsidR="00000000" w:rsidRDefault="009B04A2" w:rsidP="009B04A2">
      <w:pPr>
        <w:numPr>
          <w:ilvl w:val="0"/>
          <w:numId w:val="1"/>
        </w:numPr>
        <w:tabs>
          <w:tab w:val="left" w:pos="600"/>
        </w:tabs>
        <w:ind w:left="600" w:hanging="360"/>
        <w:jc w:val="both"/>
      </w:pPr>
      <w:r>
        <w:t>унификацию форм проектных документов и графических изображений с исключением не требующейся потребителю информации;</w:t>
      </w:r>
    </w:p>
    <w:p w:rsidR="00000000" w:rsidRDefault="009B04A2" w:rsidP="009B04A2">
      <w:pPr>
        <w:numPr>
          <w:ilvl w:val="0"/>
          <w:numId w:val="1"/>
        </w:numPr>
        <w:tabs>
          <w:tab w:val="left" w:pos="600"/>
        </w:tabs>
        <w:ind w:left="600" w:hanging="360"/>
        <w:jc w:val="both"/>
      </w:pPr>
      <w:r>
        <w:t>унификацию терминов и понятий, применяемых в СПДС;</w:t>
      </w:r>
    </w:p>
    <w:p w:rsidR="00000000" w:rsidRDefault="009B04A2" w:rsidP="009B04A2">
      <w:pPr>
        <w:numPr>
          <w:ilvl w:val="0"/>
          <w:numId w:val="1"/>
        </w:numPr>
        <w:tabs>
          <w:tab w:val="left" w:pos="600"/>
        </w:tabs>
        <w:ind w:left="600" w:hanging="360"/>
        <w:jc w:val="both"/>
      </w:pPr>
      <w:r>
        <w:t>применение проектной документа</w:t>
      </w:r>
      <w:r>
        <w:t>ции в автоматизированных системах проектирования и управления строительным производством;</w:t>
      </w:r>
    </w:p>
    <w:p w:rsidR="00000000" w:rsidRDefault="009B04A2" w:rsidP="009B04A2">
      <w:pPr>
        <w:numPr>
          <w:ilvl w:val="0"/>
          <w:numId w:val="1"/>
        </w:numPr>
        <w:tabs>
          <w:tab w:val="left" w:pos="600"/>
        </w:tabs>
        <w:ind w:left="600" w:hanging="360"/>
        <w:jc w:val="both"/>
      </w:pPr>
      <w:r>
        <w:t>возможность качественного выпуска проектной продукции и ее репрографии.</w:t>
      </w:r>
      <w:r>
        <w:br/>
      </w:r>
      <w:r>
        <w:br/>
        <w:t>    Кроме того, требования стандартов СПДС должны быть взаимоувязаны с требованиями стандартов соответствующих унифицированных систем документации, в т.ч. государственных стандартов Единой системы конструкторской документации (ЕСКД), стандартов системы репрографии и СФД, международных стандартов ИСО и МЭК, а также с другими взаимосвязанными нормат</w:t>
      </w:r>
      <w:r>
        <w:t>ивными документами.</w:t>
      </w:r>
    </w:p>
    <w:p w:rsidR="00000000" w:rsidRDefault="009B04A2">
      <w:pPr>
        <w:jc w:val="both"/>
      </w:pPr>
      <w:r>
        <w:br/>
      </w:r>
    </w:p>
    <w:p w:rsidR="00000000" w:rsidRDefault="009B04A2">
      <w:pPr>
        <w:pStyle w:val="H3"/>
        <w:jc w:val="center"/>
      </w:pPr>
      <w:r>
        <w:t>3 Классификация и обозначение</w:t>
      </w:r>
      <w:r>
        <w:br/>
      </w:r>
      <w:r>
        <w:br/>
      </w:r>
    </w:p>
    <w:p w:rsidR="00000000" w:rsidRDefault="009B04A2">
      <w:pPr>
        <w:jc w:val="both"/>
      </w:pPr>
      <w:r>
        <w:t>     3.1 Стандарты СПДС распределяются по классификационным группам, приведенным в таблице 1.</w:t>
      </w:r>
    </w:p>
    <w:p w:rsidR="00000000" w:rsidRDefault="009B04A2">
      <w:pPr>
        <w:jc w:val="both"/>
      </w:pP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pStyle w:val="A10"/>
        <w:tabs>
          <w:tab w:val="clear" w:pos="959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3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9B04A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классификационной группы</w:t>
            </w:r>
          </w:p>
        </w:tc>
        <w:tc>
          <w:tcPr>
            <w:tcW w:w="8334" w:type="dxa"/>
          </w:tcPr>
          <w:p w:rsidR="00000000" w:rsidRDefault="009B04A2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классификационной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9B04A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34" w:type="dxa"/>
          </w:tcPr>
          <w:p w:rsidR="00000000" w:rsidRDefault="009B04A2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положения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9B04A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34" w:type="dxa"/>
          </w:tcPr>
          <w:p w:rsidR="00000000" w:rsidRDefault="009B04A2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правила выполнения чертежей и текстовых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9B04A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34" w:type="dxa"/>
          </w:tcPr>
          <w:p w:rsidR="00000000" w:rsidRDefault="009B04A2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Условные обозначения и изображения на чертежах и схемах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9B04A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34" w:type="dxa"/>
          </w:tcPr>
          <w:p w:rsidR="00000000" w:rsidRDefault="009B04A2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выполнения документации инженерных изысканий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9B04A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34" w:type="dxa"/>
          </w:tcPr>
          <w:p w:rsidR="00000000" w:rsidRDefault="009B04A2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выполнения технологической проектной докумен-</w:t>
            </w:r>
          </w:p>
          <w:p w:rsidR="00000000" w:rsidRDefault="009B04A2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9B04A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34" w:type="dxa"/>
          </w:tcPr>
          <w:p w:rsidR="00000000" w:rsidRDefault="009B04A2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выполнения архит</w:t>
            </w:r>
            <w:r>
              <w:rPr>
                <w:rFonts w:ascii="Times New Roman" w:hAnsi="Times New Roman"/>
                <w:sz w:val="24"/>
              </w:rPr>
              <w:t>ектурно-строительной проектной</w:t>
            </w:r>
          </w:p>
          <w:p w:rsidR="00000000" w:rsidRDefault="009B04A2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9B04A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34" w:type="dxa"/>
          </w:tcPr>
          <w:p w:rsidR="00000000" w:rsidRDefault="009B04A2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выполнения проектной документации инженерного</w:t>
            </w:r>
          </w:p>
          <w:p w:rsidR="00000000" w:rsidRDefault="009B04A2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обеспечения зданий и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9B04A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34" w:type="dxa"/>
          </w:tcPr>
          <w:p w:rsidR="00000000" w:rsidRDefault="009B04A2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выполнения проектной документации инженерных            сооружений, наружных сетей и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9B04A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334" w:type="dxa"/>
          </w:tcPr>
          <w:p w:rsidR="00000000" w:rsidRDefault="009B04A2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выполнения планировочной и градостроительной</w:t>
            </w:r>
          </w:p>
          <w:p w:rsidR="00000000" w:rsidRDefault="009B04A2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9B04A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34" w:type="dxa"/>
          </w:tcPr>
          <w:p w:rsidR="00000000" w:rsidRDefault="009B04A2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стандарты</w:t>
            </w:r>
          </w:p>
        </w:tc>
      </w:tr>
    </w:tbl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jc w:val="both"/>
      </w:pPr>
      <w:r>
        <w:t>     3.2 Обозначения стандартов СПДС строятся по классификационному признаку и составляются из</w:t>
      </w:r>
      <w:r>
        <w:t>:</w:t>
      </w:r>
    </w:p>
    <w:p w:rsidR="00000000" w:rsidRDefault="009B04A2" w:rsidP="009B04A2">
      <w:pPr>
        <w:numPr>
          <w:ilvl w:val="0"/>
          <w:numId w:val="2"/>
        </w:numPr>
        <w:tabs>
          <w:tab w:val="left" w:pos="600"/>
        </w:tabs>
        <w:ind w:left="600" w:hanging="360"/>
        <w:jc w:val="both"/>
      </w:pPr>
      <w:r>
        <w:t>сокращенного наименования категории нормативного документа;</w:t>
      </w:r>
    </w:p>
    <w:p w:rsidR="00000000" w:rsidRDefault="009B04A2" w:rsidP="009B04A2">
      <w:pPr>
        <w:numPr>
          <w:ilvl w:val="0"/>
          <w:numId w:val="2"/>
        </w:numPr>
        <w:tabs>
          <w:tab w:val="left" w:pos="600"/>
        </w:tabs>
        <w:ind w:left="600" w:hanging="360"/>
        <w:jc w:val="both"/>
      </w:pPr>
      <w:r>
        <w:t>двузна</w:t>
      </w:r>
      <w:r>
        <w:t>чного цифрового кода СПДС по классификатору;</w:t>
      </w:r>
    </w:p>
    <w:p w:rsidR="00000000" w:rsidRDefault="009B04A2" w:rsidP="009B04A2">
      <w:pPr>
        <w:numPr>
          <w:ilvl w:val="0"/>
          <w:numId w:val="2"/>
        </w:numPr>
        <w:tabs>
          <w:tab w:val="left" w:pos="600"/>
        </w:tabs>
        <w:ind w:left="600" w:hanging="360"/>
        <w:jc w:val="both"/>
      </w:pPr>
      <w:r>
        <w:t>порядкового номера стандарта (после точки) в данной системе;</w:t>
      </w:r>
    </w:p>
    <w:p w:rsidR="00000000" w:rsidRDefault="009B04A2" w:rsidP="009B04A2">
      <w:pPr>
        <w:numPr>
          <w:ilvl w:val="0"/>
          <w:numId w:val="2"/>
        </w:numPr>
        <w:tabs>
          <w:tab w:val="left" w:pos="600"/>
        </w:tabs>
        <w:ind w:left="600" w:hanging="360"/>
        <w:jc w:val="both"/>
      </w:pPr>
      <w:r>
        <w:t>двух последних цифр (после тире), указывающих год принятия стандарта.</w:t>
      </w:r>
    </w:p>
    <w:p w:rsidR="00000000" w:rsidRDefault="009B04A2">
      <w:pPr>
        <w:jc w:val="both"/>
      </w:pP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 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ГОСТ   21   0    01  - 93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-----  ---  ---  ---   ---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¦     ¦    ¦    ¦     ¦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¦     ¦    ¦    ¦     +-- Год принятия стандарта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¦     ¦    ¦    ¦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¦     ¦    ¦    +-------- Номер стандарта в классифика-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¦     ¦    ¦              ционной группе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¦     ¦    ¦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¦     ¦    +------------- Код классификационной группы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¦     ¦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¦     +------------------ Код СПДС по классификатору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¦                         стандартов и технических условий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¦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+------------------------ Категория межгосударственного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                    стандарта</w:t>
      </w: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9B04A2">
      <w:pPr>
        <w:pStyle w:val="A10"/>
        <w:tabs>
          <w:tab w:val="clear" w:pos="9590"/>
        </w:tabs>
        <w:rPr>
          <w:rFonts w:ascii="Times New Roman" w:hAnsi="Times New Roman"/>
        </w:rPr>
      </w:pPr>
    </w:p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90801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2"/>
        <w:numFmt w:val="bullet"/>
        <w:lvlText w:val="-"/>
        <w:legacy w:legacy="1" w:legacySpace="0" w:legacyIndent="600"/>
        <w:lvlJc w:val="left"/>
        <w:pPr>
          <w:ind w:left="840" w:hanging="600"/>
        </w:pPr>
      </w:lvl>
    </w:lvlOverride>
  </w:num>
  <w:num w:numId="2">
    <w:abstractNumId w:val="0"/>
    <w:lvlOverride w:ilvl="0">
      <w:lvl w:ilvl="0">
        <w:start w:val="3"/>
        <w:numFmt w:val="bullet"/>
        <w:lvlText w:val="-"/>
        <w:legacy w:legacy="1" w:legacySpace="0" w:legacyIndent="600"/>
        <w:lvlJc w:val="left"/>
        <w:pPr>
          <w:ind w:left="840" w:hanging="6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4A2"/>
    <w:rsid w:val="009B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next w:val="N"/>
    <w:pPr>
      <w:spacing w:before="0" w:after="0"/>
    </w:pPr>
  </w:style>
  <w:style w:type="paragraph" w:customStyle="1" w:styleId="N">
    <w:name w:val="N"/>
    <w:basedOn w:val="a"/>
    <w:next w:val="O"/>
    <w:pPr>
      <w:spacing w:before="0" w:after="0"/>
      <w:ind w:left="360"/>
    </w:pPr>
  </w:style>
  <w:style w:type="character" w:customStyle="1" w:styleId="I">
    <w:name w:val="I"/>
    <w:rPr>
      <w:i/>
    </w:rPr>
  </w:style>
  <w:style w:type="paragraph" w:customStyle="1" w:styleId="i0">
    <w:name w:val="i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sz w:val="36"/>
    </w:rPr>
  </w:style>
  <w:style w:type="paragraph" w:customStyle="1" w:styleId="H3">
    <w:name w:val="H3"/>
    <w:basedOn w:val="a"/>
    <w:next w:val="a"/>
    <w:pPr>
      <w:keepNext/>
    </w:pPr>
    <w:rPr>
      <w:b/>
      <w:sz w:val="28"/>
    </w:rPr>
  </w:style>
  <w:style w:type="paragraph" w:customStyle="1" w:styleId="H4">
    <w:name w:val="H4"/>
    <w:basedOn w:val="a"/>
    <w:next w:val="a"/>
    <w:pPr>
      <w:keepNext/>
    </w:pPr>
    <w:rPr>
      <w:b/>
    </w:rPr>
  </w:style>
  <w:style w:type="paragraph" w:customStyle="1" w:styleId="H5">
    <w:name w:val="H5"/>
    <w:basedOn w:val="a"/>
    <w:next w:val="a"/>
    <w:pPr>
      <w:keepNext/>
    </w:pPr>
    <w:rPr>
      <w:b/>
      <w:sz w:val="20"/>
    </w:rPr>
  </w:style>
  <w:style w:type="paragraph" w:customStyle="1" w:styleId="H6">
    <w:name w:val="H6"/>
    <w:basedOn w:val="a"/>
    <w:next w:val="a"/>
    <w:pPr>
      <w:keepNext/>
    </w:pPr>
    <w:rPr>
      <w:b/>
      <w:sz w:val="16"/>
    </w:rPr>
  </w:style>
  <w:style w:type="paragraph" w:customStyle="1" w:styleId="A3">
    <w:name w:val="A"/>
    <w:basedOn w:val="a"/>
    <w:next w:val="a"/>
    <w:pPr>
      <w:spacing w:before="0" w:after="0"/>
    </w:pPr>
    <w:rPr>
      <w:i/>
    </w:rPr>
  </w:style>
  <w:style w:type="paragraph" w:customStyle="1" w:styleId="O0">
    <w:name w:val="O"/>
    <w:basedOn w:val="a"/>
    <w:pPr>
      <w:ind w:left="360" w:right="360"/>
    </w:pPr>
  </w:style>
  <w:style w:type="character" w:customStyle="1" w:styleId="O1">
    <w:name w:val="O"/>
    <w:rPr>
      <w:i/>
    </w:rPr>
  </w:style>
  <w:style w:type="character" w:customStyle="1" w:styleId="E">
    <w:name w:val="E"/>
    <w:rPr>
      <w:rFonts w:ascii="Courier New" w:hAnsi="Courier New"/>
      <w:sz w:val="20"/>
    </w:rPr>
  </w:style>
  <w:style w:type="character" w:customStyle="1" w:styleId="A4">
    <w:name w:val="A"/>
    <w:rPr>
      <w:i/>
    </w:rPr>
  </w:style>
  <w:style w:type="character" w:customStyle="1" w:styleId="A5">
    <w:name w:val="A"/>
    <w:rPr>
      <w:color w:val="0000FF"/>
      <w:u w:val="single"/>
    </w:rPr>
  </w:style>
  <w:style w:type="character" w:customStyle="1" w:styleId="I1">
    <w:name w:val="I"/>
    <w:rPr>
      <w:color w:val="800080"/>
      <w:u w:val="single"/>
    </w:rPr>
  </w:style>
  <w:style w:type="character" w:customStyle="1" w:styleId="E1">
    <w:name w:val="E1"/>
    <w:rPr>
      <w:rFonts w:ascii="Courier New" w:hAnsi="Courier New"/>
      <w:b/>
      <w:sz w:val="20"/>
    </w:rPr>
  </w:style>
  <w:style w:type="paragraph" w:customStyle="1" w:styleId="A10">
    <w:name w:val="A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10">
    <w:name w:val="I1"/>
    <w:rPr>
      <w:rFonts w:ascii="Courier New" w:hAnsi="Courier New"/>
    </w:rPr>
  </w:style>
  <w:style w:type="character" w:customStyle="1" w:styleId="N1">
    <w:name w:val="N1"/>
    <w:rPr>
      <w:b/>
    </w:rPr>
  </w:style>
  <w:style w:type="character" w:customStyle="1" w:styleId="I3">
    <w:name w:val="I3"/>
    <w:rPr>
      <w:rFonts w:ascii="Courier New" w:hAnsi="Courier New"/>
      <w:sz w:val="20"/>
    </w:rPr>
  </w:style>
  <w:style w:type="character" w:customStyle="1" w:styleId="I2">
    <w:name w:val="I2"/>
    <w:rPr>
      <w:i/>
    </w:rPr>
  </w:style>
  <w:style w:type="character" w:customStyle="1" w:styleId="a6">
    <w:name w:val="?"/>
    <w:rPr>
      <w:vanish/>
      <w:color w:val="FF0000"/>
    </w:rPr>
  </w:style>
  <w:style w:type="character" w:customStyle="1" w:styleId="I11">
    <w:name w:val="I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4429</Characters>
  <Application>Microsoft Office Word</Application>
  <DocSecurity>0</DocSecurity>
  <Lines>36</Lines>
  <Paragraphs>10</Paragraphs>
  <ScaleCrop>false</ScaleCrop>
  <Company> 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</dc:title>
  <dc:subject/>
  <dc:creator>OIOE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