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70746">
      <w:pPr>
        <w:widowControl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 xml:space="preserve">ГОСТ 21.607-82 </w:t>
      </w:r>
    </w:p>
    <w:p w:rsidR="00000000" w:rsidRDefault="00B70746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B70746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628.93:002:006.354                                                                                                 Группа Ж 01</w:t>
      </w:r>
    </w:p>
    <w:p w:rsidR="00000000" w:rsidRDefault="00B70746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B70746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 ССР</w:t>
      </w:r>
    </w:p>
    <w:p w:rsidR="00000000" w:rsidRDefault="00B70746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B70746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проектной документации для строительства</w:t>
      </w:r>
    </w:p>
    <w:p w:rsidR="00000000" w:rsidRDefault="00B70746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B70746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ЭЛЕКТРИЧЕСКОЕ ОСВЕЩЕ</w:t>
      </w:r>
      <w:r>
        <w:rPr>
          <w:rFonts w:ascii="Times New Roman" w:hAnsi="Times New Roman"/>
          <w:sz w:val="20"/>
        </w:rPr>
        <w:t>НИЕ ТЕРРИТОРИИ ПРОМЫШЛЕННЫХ</w:t>
      </w:r>
    </w:p>
    <w:p w:rsidR="00000000" w:rsidRDefault="00B70746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ПРЕДПРИЯТИЙ</w:t>
      </w:r>
    </w:p>
    <w:p w:rsidR="00000000" w:rsidRDefault="00B70746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B70746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Рабочие чертежи</w:t>
      </w:r>
    </w:p>
    <w:p w:rsidR="00000000" w:rsidRDefault="00B70746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B70746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System of building design documents. Electric lighting</w:t>
      </w:r>
    </w:p>
    <w:p w:rsidR="00000000" w:rsidRDefault="00B70746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forindustrial project site. Working drawings</w:t>
      </w:r>
    </w:p>
    <w:p w:rsidR="00000000" w:rsidRDefault="00B70746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B70746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1983-07-01</w:t>
      </w:r>
    </w:p>
    <w:p w:rsidR="00000000" w:rsidRDefault="00B70746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B70746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B70746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B70746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РАЗРАБОТАН Министерством монтажных и специальных строительных работ СССР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ИСПОЛНИТЕЛИ С.А.Клюев, канд.техн.наук (руководитель темы); А.А.Бакланов; М.Н.Блейнис; Е.В.Добрынин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Министерством монтажных и специальных строительных работ СССР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Зам.министра К.К.Липодат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</w:t>
      </w:r>
      <w:r>
        <w:rPr>
          <w:rFonts w:ascii="Times New Roman" w:hAnsi="Times New Roman"/>
          <w:sz w:val="20"/>
        </w:rPr>
        <w:t>тановлением Государственного комитета СССР по делам строительства от 28 июля 1982 г. N 193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устанавливает состав и правила оформления рабочих чертежей электрического освещения территории промышленных предприятий всех отраслей промышленности и народного хозяйства.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B70746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ОБЩИЕ ПОЛОЖЕНИЯ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Рабочие чертежи электрического освещения территории промышленного предприятия (далее - рабочие чертежи освещения территории) выполняют в соответствии с требованиями настоящего стандарта и других стандарто</w:t>
      </w:r>
      <w:r>
        <w:rPr>
          <w:rFonts w:ascii="Times New Roman" w:hAnsi="Times New Roman"/>
          <w:sz w:val="20"/>
        </w:rPr>
        <w:t>в системы проектной документации для строительства.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В состав рабочих чертежей освещения территории включают: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рабочие чертежи, предназначенные для производства электромонтажных работ (основной комплект рабочих чертежей марки ЭН);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эскизные чертежи общих видов нетиповых конструкций, предназначенных для установки осветительных приборов и электрооборудования.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B70746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ОСНОВНОЙ КОМПЛЕКТ РАБОЧИХ ЧЕРТЕЖЕЙ МАРКИ ЭН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В состав основного комплекта рабочих чертежей марки ЭН включают: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общие данные по рабочим чертежам</w:t>
      </w:r>
      <w:r>
        <w:rPr>
          <w:rFonts w:ascii="Times New Roman" w:hAnsi="Times New Roman"/>
          <w:sz w:val="20"/>
        </w:rPr>
        <w:t>;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план освещения территории;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ведомость опор и прожекторных мачт с установленными на них осветительными приборами и электрооборудованием;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схемы питания и управления освещением территории;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чертежи нетиповых узлов установки осветительных приборов и электрооборудования.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Рабочие чертежи освещения территории допускается оформлять отдельными документами с присвоением им базовой марки основного комплекта и добавлением через точку порядкового номера документа, обозначаемого арабскими цифрами, например, общие да</w:t>
      </w:r>
      <w:r>
        <w:rPr>
          <w:rFonts w:ascii="Times New Roman" w:hAnsi="Times New Roman"/>
          <w:sz w:val="20"/>
        </w:rPr>
        <w:t>нные по рабочим чертежам (ЭН1.1), план освещения территории (ЭН1.2).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B70746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object w:dxaOrig="9060" w:dyaOrig="105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529.5pt" o:ole="">
            <v:imagedata r:id="rId4" o:title=""/>
          </v:shape>
          <o:OLEObject Type="Embed" ProgID="MSPhotoEd.3" ShapeID="_x0000_i1025" DrawAspect="Content" ObjectID="_1427203972" r:id="rId5"/>
        </w:objec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B70746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 </w:t>
      </w:r>
    </w:p>
    <w:p w:rsidR="00000000" w:rsidRDefault="00B70746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Общие данные по рабочим чертежам выполняют по ГОСТ 21.102-79 с учетом следующих дополнительных требований: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ведомость спецификаций не составляют;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оформлении рабочих чертежей освещения территории отдельными документами в состав общих данных включают ведомость документов по форме 2 ГОСТ 21.102-79, а в каждый из последующих документов - ведомость рабочих чертежей документа по форме 1 ГОСТ 21.102-79</w:t>
      </w:r>
      <w:r>
        <w:rPr>
          <w:rFonts w:ascii="Times New Roman" w:hAnsi="Times New Roman"/>
          <w:sz w:val="20"/>
        </w:rPr>
        <w:t xml:space="preserve"> и ссылку на общие данные по рабочим чертежам освещения территории.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План освещения территории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2.4.1. Для разработки плана освещения территории в качестве подосновы используют рабочие чертежи генерального плана.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Фрагменты плана освещения территории выполняют в масштабе 1:200 и 1:500.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2.4.2. На плане освещения территории указывают: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опоры с установленными на них светильниками и опоры для прокладки воздушных линий;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светильники, установленные на зданиях или сооружениях и подвешенные на тросах;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мачты и вышки</w:t>
      </w:r>
      <w:r>
        <w:rPr>
          <w:rFonts w:ascii="Times New Roman" w:hAnsi="Times New Roman"/>
          <w:sz w:val="20"/>
        </w:rPr>
        <w:t xml:space="preserve"> с прожекторами;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электротехнические устройства, от которых питается освещение территории;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сети освещения территории и сети управления освещением территории (при наличии дистанционного управления);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заземляющие и другие необходимые устройства;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трубные переходы под дорогами для прокладки кабелей;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позиции опор, прожекторных мачт (вышек);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буквенно-цифровые обозначения источников питания и управления;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фазы сети, к которым подключают светильники и прожекторы;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привязочные размеры для опор, прожекторных мачт (вышек)</w:t>
      </w:r>
      <w:r>
        <w:rPr>
          <w:rFonts w:ascii="Times New Roman" w:hAnsi="Times New Roman"/>
          <w:sz w:val="20"/>
        </w:rPr>
        <w:t>;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расстояния между осями опор (в метрах).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Привязочные размеры для опор, прожекторных мачт (вышек) указывают от строительной координатной сетки, от осей дорог, наружной поверхности стен здания и сооружения или от других ориентиров на территории.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опоры на прямолинейных участках сети расположены последовательно на одинаковых расстояниях друг от друга, то расстояния между ними указывают только по концам участков.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оформления плана освещения территории приведен на черт.1.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Ведомость опор и прожект</w:t>
      </w:r>
      <w:r>
        <w:rPr>
          <w:rFonts w:ascii="Times New Roman" w:hAnsi="Times New Roman"/>
          <w:sz w:val="20"/>
        </w:rPr>
        <w:t>орных мачт с установленными на них осветительными приборами выполняют по форме 1.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графах формы указывают: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графе "Поз." - позиции опор и прожекторных мачт по плану освещения территории;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графе "Обозначение" - обозначение документов на опоры и прожекторные мачты;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графе "Наименование" - наименование опор, прожекторных мачт и их тип, а также типов осветительных приборов и электрооборудования;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графе "Кол." - количество элементов по плану освещения территории;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графе "Примечание" - дополнительные сведен</w:t>
      </w:r>
      <w:r>
        <w:rPr>
          <w:rFonts w:ascii="Times New Roman" w:hAnsi="Times New Roman"/>
          <w:sz w:val="20"/>
        </w:rPr>
        <w:t>ия, относящиеся к записанным в ведомость элементам.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заполнения ведомости приведен в справочном приложении.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Схемы питания и управления освещением территории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2.6.1. В состав схем питания и управления освещением территории включают: </w:t>
      </w:r>
    </w:p>
    <w:p w:rsidR="00000000" w:rsidRDefault="00B70746">
      <w:pPr>
        <w:widowControl/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принципиальные схемы питания освещения территории; 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принципиальные схемы дистанционного управления освещением территории; 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схемы подключения комплектных распределительных устройств до 1000 В (при наличии дистанционного управления). 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2.6.2. Принципиальные схемы питания </w:t>
      </w:r>
      <w:r>
        <w:rPr>
          <w:rFonts w:ascii="Times New Roman" w:hAnsi="Times New Roman"/>
          <w:sz w:val="20"/>
        </w:rPr>
        <w:t xml:space="preserve">освещения территории выполняют в соответствии с требованиями настоящего стандарта и с учетом требований ГОСТ 2.702-75. 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 схемах указывают: 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аппараты защиты и управления, относящиеся к освещению территории, установленные на источниках питания и комплектных распределительных устройствах напряжением 1000 В; 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линии сети питания освещения территории; 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буквенно-цифровые обозначения (при необходимости) источников питания, комплектных распределительных устройств напряжением до 1000 В, линий сети освещения террито</w:t>
      </w:r>
      <w:r>
        <w:rPr>
          <w:rFonts w:ascii="Times New Roman" w:hAnsi="Times New Roman"/>
          <w:sz w:val="20"/>
        </w:rPr>
        <w:t xml:space="preserve">рии; 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типы комплектных распределительных устройств; 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номинальный ток аппаратов защиты и управления; 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расчетные данные, сечения проводников и назначение линий сети освещения территории. 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Принципиальную схему питания освещения территории выполняют по форме 2. 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 оформления схемы приведен на черт.2. 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B70746">
      <w:pPr>
        <w:pStyle w:val="Heading"/>
        <w:widowControl/>
        <w:jc w:val="both"/>
        <w:rPr>
          <w:rFonts w:ascii="Times New Roman" w:hAnsi="Times New Roman"/>
          <w:sz w:val="20"/>
        </w:rPr>
      </w:pPr>
    </w:p>
    <w:p w:rsidR="00000000" w:rsidRDefault="00B70746">
      <w:pPr>
        <w:widowControl/>
        <w:jc w:val="right"/>
        <w:rPr>
          <w:rFonts w:ascii="Times New Roman" w:hAnsi="Times New Roman"/>
          <w:sz w:val="20"/>
        </w:rPr>
        <w:sectPr w:rsidR="00000000">
          <w:endnotePr>
            <w:numFmt w:val="decimal"/>
          </w:endnotePr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B70746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1</w:t>
      </w:r>
    </w:p>
    <w:p w:rsidR="00000000" w:rsidRDefault="00B70746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B70746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ВЕДОМОСТЬ  ОПОР И ПРОЖЕКТОРНЫХ МАЧТ С УСТАНОВЛЕННЫМИ НА НИХ ОСВЕТИТЕЛЬНЫМИ ПРИБОРАМИ</w:t>
      </w:r>
    </w:p>
    <w:p w:rsidR="00000000" w:rsidRDefault="00B70746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528.75pt;height:185.25pt">
            <v:imagedata r:id="rId6" o:title=""/>
          </v:shape>
        </w:pict>
      </w:r>
    </w:p>
    <w:p w:rsidR="00000000" w:rsidRDefault="00B70746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Форма 2 </w:t>
      </w:r>
    </w:p>
    <w:p w:rsidR="00000000" w:rsidRDefault="00B70746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object w:dxaOrig="15600" w:dyaOrig="4605">
          <v:shape id="_x0000_i1027" type="#_x0000_t75" style="width:780pt;height:230.25pt" o:ole="">
            <v:imagedata r:id="rId7" o:title=""/>
          </v:shape>
          <o:OLEObject Type="Embed" ProgID="MSPhotoEd.3" ShapeID="_x0000_i1027" DrawAspect="Content" ObjectID="_1427203973" r:id="rId8"/>
        </w:object>
      </w:r>
    </w:p>
    <w:p w:rsidR="00000000" w:rsidRDefault="00B70746">
      <w:pPr>
        <w:widowControl/>
        <w:jc w:val="center"/>
        <w:rPr>
          <w:rFonts w:ascii="Times New Roman" w:hAnsi="Times New Roman"/>
          <w:sz w:val="20"/>
        </w:rPr>
      </w:pPr>
      <w:r>
        <w:object w:dxaOrig="10324" w:dyaOrig="6258">
          <v:shape id="_x0000_i1028" type="#_x0000_t75" style="width:746.25pt;height:452.25pt" o:ole="">
            <v:imagedata r:id="rId9" o:title=""/>
          </v:shape>
          <o:OLEObject Type="Embed" ProgID="MSPhotoEd.3" ShapeID="_x0000_i1028" DrawAspect="Content" ObjectID="_1427203974" r:id="rId10"/>
        </w:object>
      </w:r>
    </w:p>
    <w:p w:rsidR="00000000" w:rsidRDefault="00B70746">
      <w:pPr>
        <w:widowControl/>
        <w:rPr>
          <w:rFonts w:ascii="Times New Roman" w:hAnsi="Times New Roman"/>
          <w:sz w:val="20"/>
        </w:rPr>
      </w:pPr>
    </w:p>
    <w:p w:rsidR="00000000" w:rsidRDefault="00B70746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2 </w:t>
      </w:r>
    </w:p>
    <w:p w:rsidR="00000000" w:rsidRDefault="00B70746">
      <w:pPr>
        <w:widowControl/>
        <w:ind w:firstLine="360"/>
        <w:jc w:val="both"/>
        <w:rPr>
          <w:rFonts w:ascii="Times New Roman" w:hAnsi="Times New Roman"/>
          <w:sz w:val="20"/>
        </w:rPr>
        <w:sectPr w:rsidR="00000000">
          <w:endnotePr>
            <w:numFmt w:val="decimal"/>
          </w:endnotePr>
          <w:pgSz w:w="16840" w:h="11907" w:orient="landscape" w:code="9"/>
          <w:pgMar w:top="1134" w:right="680" w:bottom="1134" w:left="567" w:header="720" w:footer="720" w:gutter="0"/>
          <w:cols w:space="720"/>
          <w:noEndnote/>
        </w:sectPr>
      </w:pP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2.6.3. Принципиальные схемы дистанционн</w:t>
      </w:r>
      <w:r>
        <w:rPr>
          <w:rFonts w:ascii="Times New Roman" w:hAnsi="Times New Roman"/>
          <w:sz w:val="20"/>
        </w:rPr>
        <w:t>ого управления освещением территории и схемы подключения комплектных распределительных устройств до 1000 В выполняют с учетом требований ГОСТ 2.702-75.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В состав чертежей нетиповых узлов установки осветительных приборов и электрооборудования включают виды и разрезы, необходимые для осуществления монтажа.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видах и разрезах наносят позиции элементов узлов и установочные размеры.</w:t>
      </w:r>
    </w:p>
    <w:p w:rsidR="00000000" w:rsidRDefault="00B7074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 чертежах нетиповых узлов приводят спецификации по форме 1 ГОСТ 21.104-79. </w:t>
      </w:r>
    </w:p>
    <w:p w:rsidR="00000000" w:rsidRDefault="00B70746">
      <w:pPr>
        <w:widowControl/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Эскизные чертежи общих видов нетиповых констр</w:t>
      </w:r>
      <w:r>
        <w:rPr>
          <w:rFonts w:ascii="Times New Roman" w:hAnsi="Times New Roman"/>
          <w:sz w:val="20"/>
        </w:rPr>
        <w:t>укций, предназначенных для установки осветительных приборов и электрооборудования, выполняют в соответствии с требованиями ГОСТ 2.119-73 в объеме, необходимом для разработки конструкторской документации по ГОСТ 2.103-68.</w:t>
      </w:r>
    </w:p>
    <w:p w:rsidR="00000000" w:rsidRDefault="00B70746">
      <w:pPr>
        <w:widowControl/>
        <w:jc w:val="right"/>
        <w:rPr>
          <w:rFonts w:ascii="Times New Roman" w:hAnsi="Times New Roman"/>
          <w:sz w:val="20"/>
          <w:lang w:val="en-US"/>
        </w:rPr>
      </w:pPr>
    </w:p>
    <w:p w:rsidR="00000000" w:rsidRDefault="00B70746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</w:t>
      </w:r>
    </w:p>
    <w:p w:rsidR="00000000" w:rsidRDefault="00B70746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Справочное </w:t>
      </w:r>
    </w:p>
    <w:p w:rsidR="00000000" w:rsidRDefault="00B70746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B70746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ЗАПОЛНЕНИЯ ВЕДОМОСТИ ОПОР И ПРОЖЕКТОРНЫХ</w:t>
      </w:r>
    </w:p>
    <w:p w:rsidR="00000000" w:rsidRDefault="00B70746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МАЧТ C УСТАНОВЛЕННЫМИ НА НИХ ОСВЕТИТЕЛЬНЫМИ ПРИБОРАМИ</w:t>
      </w:r>
    </w:p>
    <w:p w:rsidR="00000000" w:rsidRDefault="00B70746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B70746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9" type="#_x0000_t75" style="width:489pt;height:345pt">
            <v:imagedata r:id="rId11" o:title=""/>
          </v:shape>
        </w:pict>
      </w:r>
    </w:p>
    <w:sectPr w:rsidR="00000000">
      <w:endnotePr>
        <w:numFmt w:val="decimal"/>
      </w:endnotePr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0746"/>
    <w:rsid w:val="00B7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  <w:rPr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embeddings/oleObject2.bin" Type="http://schemas.openxmlformats.org/officeDocument/2006/relationships/oleObject"/><Relationship Id="rId13" Target="theme/theme1.xml" Type="http://schemas.openxmlformats.org/officeDocument/2006/relationships/theme"/><Relationship Id="rId3" Target="webSettings.xml" Type="http://schemas.openxmlformats.org/officeDocument/2006/relationships/webSettings"/><Relationship Id="rId7" Target="media/image3.png" Type="http://schemas.openxmlformats.org/officeDocument/2006/relationships/image"/><Relationship Id="rId12" Target="fontTable.xml" Type="http://schemas.openxmlformats.org/officeDocument/2006/relationships/fontTabl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2.png" Type="http://schemas.openxmlformats.org/officeDocument/2006/relationships/image"/><Relationship Id="rId11" Target="media/image5.jpeg" Type="http://schemas.openxmlformats.org/officeDocument/2006/relationships/image"/><Relationship Id="rId5" Target="embeddings/oleObject1.bin" Type="http://schemas.openxmlformats.org/officeDocument/2006/relationships/oleObject"/><Relationship Id="rId10" Target="embeddings/oleObject3.bin" Type="http://schemas.openxmlformats.org/officeDocument/2006/relationships/oleObject"/><Relationship Id="rId4" Target="media/image1.png" Type="http://schemas.openxmlformats.org/officeDocument/2006/relationships/image"/><Relationship Id="rId9" Target="media/image4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1084</Words>
  <Characters>6180</Characters>
  <Application>Microsoft Office Word</Application>
  <DocSecurity>0</DocSecurity>
  <Lines>51</Lines>
  <Paragraphs>14</Paragraphs>
  <ScaleCrop>false</ScaleCrop>
  <Company> </Company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Изюмский</dc:creator>
  <cp:keywords/>
  <dc:description/>
  <cp:lastModifiedBy>Parhomeiai</cp:lastModifiedBy>
  <cp:revision>2</cp:revision>
  <dcterms:created xsi:type="dcterms:W3CDTF">2013-04-11T11:10:00Z</dcterms:created>
  <dcterms:modified xsi:type="dcterms:W3CDTF">2013-04-11T11:10:00Z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482687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