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604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21807-76</w:t>
      </w:r>
    </w:p>
    <w:p w:rsidR="00000000" w:rsidRDefault="0072604D">
      <w:pPr>
        <w:jc w:val="right"/>
        <w:rPr>
          <w:rFonts w:ascii="Times New Roman" w:hAnsi="Times New Roman"/>
          <w:sz w:val="20"/>
        </w:rPr>
      </w:pPr>
    </w:p>
    <w:p w:rsidR="00000000" w:rsidRDefault="007260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621.86.063:693.32(083.74)                                                                                       Группа Г45</w:t>
      </w:r>
    </w:p>
    <w:p w:rsidR="00000000" w:rsidRDefault="0072604D">
      <w:pPr>
        <w:jc w:val="right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БУНКЕРЫ (БАДЬИ) ПЕРЕНОСНЫЕ ВМЕСТИМОСТЬЮ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2 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ДЛЯ БЕТОННОЙ СМЕСИ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</w:t>
      </w:r>
      <w:r>
        <w:rPr>
          <w:rFonts w:ascii="Times New Roman" w:hAnsi="Times New Roman"/>
          <w:sz w:val="20"/>
        </w:rPr>
        <w:t>хнические условия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pStyle w:val="Preformat"/>
        <w:rPr>
          <w:rFonts w:ascii="Times New Roman" w:hAnsi="Times New Roman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m</w:t>
      </w:r>
      <w:r>
        <w:rPr>
          <w:rFonts w:ascii="Times New Roman" w:hAnsi="Times New Roman"/>
          <w:sz w:val="20"/>
        </w:rPr>
        <w:t xml:space="preserve">ixture </w:t>
      </w:r>
      <w:r>
        <w:rPr>
          <w:rFonts w:ascii="Times New Roman" w:hAnsi="Times New Roman"/>
          <w:sz w:val="20"/>
          <w:lang w:val="en-US"/>
        </w:rPr>
        <w:t>c</w:t>
      </w:r>
      <w:r>
        <w:rPr>
          <w:rFonts w:ascii="Times New Roman" w:hAnsi="Times New Roman"/>
          <w:sz w:val="20"/>
        </w:rPr>
        <w:t>onveying</w:t>
      </w:r>
      <w:r>
        <w:rPr>
          <w:rFonts w:ascii="Times New Roman" w:hAnsi="Times New Roman"/>
          <w:sz w:val="20"/>
          <w:lang w:val="en-US"/>
        </w:rPr>
        <w:t xml:space="preserve"> b</w:t>
      </w:r>
      <w:r>
        <w:rPr>
          <w:rFonts w:ascii="Times New Roman" w:hAnsi="Times New Roman"/>
          <w:sz w:val="20"/>
        </w:rPr>
        <w:t xml:space="preserve">uckets </w:t>
      </w:r>
      <w:r>
        <w:rPr>
          <w:rFonts w:ascii="Times New Roman" w:hAnsi="Times New Roman"/>
          <w:sz w:val="20"/>
          <w:lang w:val="en-US"/>
        </w:rPr>
        <w:t xml:space="preserve">to </w:t>
      </w:r>
      <w:r>
        <w:rPr>
          <w:rFonts w:ascii="Times New Roman" w:hAnsi="Times New Roman"/>
          <w:sz w:val="20"/>
        </w:rPr>
        <w:t>2 m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volume</w:t>
      </w:r>
      <w:r>
        <w:rPr>
          <w:rFonts w:ascii="Times New Roman" w:hAnsi="Times New Roman"/>
          <w:sz w:val="20"/>
        </w:rPr>
        <w:t>.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specifications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72604D">
      <w:pPr>
        <w:pStyle w:val="Preformat"/>
        <w:rPr>
          <w:rFonts w:ascii="Times New Roman" w:hAnsi="Times New Roman"/>
        </w:rPr>
      </w:pPr>
    </w:p>
    <w:p w:rsidR="00000000" w:rsidRDefault="007260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1977-01-01</w:t>
      </w:r>
    </w:p>
    <w:p w:rsidR="00000000" w:rsidRDefault="0072604D">
      <w:pPr>
        <w:jc w:val="right"/>
        <w:rPr>
          <w:rFonts w:ascii="Times New Roman" w:hAnsi="Times New Roman"/>
          <w:sz w:val="20"/>
        </w:rPr>
      </w:pPr>
    </w:p>
    <w:p w:rsidR="00000000" w:rsidRDefault="0072604D">
      <w:pPr>
        <w:pStyle w:val="Preformat"/>
        <w:jc w:val="right"/>
        <w:rPr>
          <w:rFonts w:ascii="Times New Roman" w:hAnsi="Times New Roman"/>
        </w:rPr>
      </w:pPr>
    </w:p>
    <w:p w:rsidR="00000000" w:rsidRDefault="0072604D">
      <w:pPr>
        <w:jc w:val="right"/>
      </w:pPr>
    </w:p>
    <w:p w:rsidR="00000000" w:rsidRDefault="0072604D">
      <w:pPr>
        <w:spacing w:before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72604D">
      <w:pPr>
        <w:spacing w:before="100" w:line="22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Совета Министров СССР по делам строительства</w:t>
      </w:r>
    </w:p>
    <w:p w:rsidR="00000000" w:rsidRDefault="0072604D">
      <w:pPr>
        <w:spacing w:before="1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72604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К. М</w:t>
      </w:r>
      <w:r>
        <w:rPr>
          <w:rFonts w:ascii="Times New Roman" w:hAnsi="Times New Roman"/>
          <w:color w:val="008000"/>
          <w:sz w:val="20"/>
        </w:rPr>
        <w:t>.</w:t>
      </w:r>
      <w:r>
        <w:rPr>
          <w:rFonts w:ascii="Times New Roman" w:hAnsi="Times New Roman"/>
          <w:sz w:val="20"/>
        </w:rPr>
        <w:t xml:space="preserve"> Константинов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(руководитель темы), В. И. Смолин,  Б. Б. </w:t>
      </w:r>
      <w:proofErr w:type="spellStart"/>
      <w:r>
        <w:rPr>
          <w:rFonts w:ascii="Times New Roman" w:hAnsi="Times New Roman"/>
          <w:sz w:val="20"/>
        </w:rPr>
        <w:t>Тихеев</w:t>
      </w:r>
      <w:proofErr w:type="spellEnd"/>
      <w:r>
        <w:rPr>
          <w:rFonts w:ascii="Times New Roman" w:hAnsi="Times New Roman"/>
          <w:sz w:val="20"/>
        </w:rPr>
        <w:t xml:space="preserve">, М.Ф. </w:t>
      </w:r>
      <w:proofErr w:type="spellStart"/>
      <w:r>
        <w:rPr>
          <w:rFonts w:ascii="Times New Roman" w:hAnsi="Times New Roman"/>
          <w:sz w:val="20"/>
        </w:rPr>
        <w:t>Крайнюк</w:t>
      </w:r>
      <w:proofErr w:type="spellEnd"/>
      <w:r>
        <w:rPr>
          <w:rFonts w:ascii="Times New Roman" w:hAnsi="Times New Roman"/>
          <w:sz w:val="20"/>
        </w:rPr>
        <w:t xml:space="preserve">, Б. В, </w:t>
      </w:r>
      <w:proofErr w:type="spellStart"/>
      <w:r>
        <w:rPr>
          <w:rFonts w:ascii="Times New Roman" w:hAnsi="Times New Roman"/>
          <w:sz w:val="20"/>
        </w:rPr>
        <w:t>Жадановский</w:t>
      </w:r>
      <w:proofErr w:type="spellEnd"/>
    </w:p>
    <w:p w:rsidR="00000000" w:rsidRDefault="0072604D">
      <w:pPr>
        <w:ind w:left="360"/>
        <w:jc w:val="both"/>
        <w:rPr>
          <w:rFonts w:ascii="Times New Roman" w:hAnsi="Times New Roman"/>
          <w:sz w:val="20"/>
        </w:rPr>
      </w:pPr>
    </w:p>
    <w:p w:rsidR="00000000" w:rsidRDefault="0072604D">
      <w:pPr>
        <w:spacing w:line="22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Совета Министров СССР по делам строительства от 28.04.76 № 59</w:t>
      </w:r>
    </w:p>
    <w:p w:rsidR="00000000" w:rsidRDefault="0072604D">
      <w:pPr>
        <w:spacing w:before="1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Периодичность прове</w:t>
      </w:r>
      <w:r>
        <w:rPr>
          <w:rFonts w:ascii="Times New Roman" w:hAnsi="Times New Roman"/>
          <w:sz w:val="20"/>
        </w:rPr>
        <w:t>рки 5 лет</w:t>
      </w:r>
    </w:p>
    <w:p w:rsidR="00000000" w:rsidRDefault="0072604D">
      <w:pPr>
        <w:spacing w:before="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ВВЕДЕН ВПЕРВЫЕ</w:t>
      </w:r>
    </w:p>
    <w:p w:rsidR="00000000" w:rsidRDefault="0072604D">
      <w:pPr>
        <w:spacing w:before="1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</w:t>
      </w:r>
      <w:r>
        <w:rPr>
          <w:rFonts w:ascii="Times New Roman" w:hAnsi="Times New Roman"/>
          <w:color w:val="008000"/>
          <w:sz w:val="20"/>
        </w:rPr>
        <w:t>-</w:t>
      </w:r>
      <w:r>
        <w:rPr>
          <w:rFonts w:ascii="Times New Roman" w:hAnsi="Times New Roman"/>
          <w:sz w:val="20"/>
        </w:rPr>
        <w:t>ТЕХНИЧЕСКИЕ ДОКУМЕНТЫ</w:t>
      </w:r>
    </w:p>
    <w:p w:rsidR="00000000" w:rsidRDefault="0072604D">
      <w:pPr>
        <w:spacing w:before="140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0"/>
        <w:gridCol w:w="3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spacing w:before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9.032—74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spacing w:before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380—71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1033—79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1050—74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3242—79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5233—67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5264—80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6465—76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7502—80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8713—79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12969—67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12971—67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14637—79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14892—69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15150—69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17770—86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19282—73</w:t>
            </w:r>
          </w:p>
        </w:tc>
        <w:tc>
          <w:tcPr>
            <w:tcW w:w="3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25573—82</w:t>
            </w:r>
          </w:p>
        </w:tc>
        <w:tc>
          <w:tcPr>
            <w:tcW w:w="3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</w:t>
            </w:r>
          </w:p>
        </w:tc>
      </w:tr>
    </w:tbl>
    <w:p w:rsidR="00000000" w:rsidRDefault="0072604D">
      <w:pPr>
        <w:rPr>
          <w:rFonts w:ascii="Times New Roman" w:hAnsi="Times New Roman"/>
          <w:sz w:val="20"/>
        </w:rPr>
      </w:pPr>
    </w:p>
    <w:p w:rsidR="00000000" w:rsidRDefault="0072604D">
      <w:pPr>
        <w:spacing w:line="22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6. ПЕРЕИЗДАНИЕ (июнь 1988 г.) с Изменением №</w:t>
      </w:r>
      <w:r>
        <w:rPr>
          <w:rFonts w:ascii="Times New Roman" w:hAnsi="Times New Roman"/>
          <w:sz w:val="20"/>
        </w:rPr>
        <w:t xml:space="preserve"> 1, утвержденным в июне 1985 г. (ИУС 1—88).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бункеры (бадьи) (в дальнейшем бункеры) переносные вместимостью до 2 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поворотные и неповоротные, применяемые в строительстве для приема и транспортирования бетонной смеси кранами к месту бетонирования конструкций.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Бункеры классифицируются по: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конструктивному решению;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климатическому исполнению;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условию комплектации.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По конструктивному решению бункеры подразделяются на типы: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 - поворотные;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 - </w:t>
      </w:r>
      <w:r>
        <w:rPr>
          <w:rFonts w:ascii="Times New Roman" w:hAnsi="Times New Roman"/>
          <w:sz w:val="20"/>
        </w:rPr>
        <w:t>неповоротные.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По климатическому исполнению для: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районов с умеренным климатом;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ХЛ - районов с холодным климатом.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По условию комплектации: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- с вибратором;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 вибратора.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ОСНОВНЫЕ ПАРАМЕТРЫ И РАЗМЕРЫ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Основные параметры и размеры переносных поворотных и неповоротных бункеров для бетонной смеси должны соответствовать указанным на черт. 1, 2 и в табл. 1.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Бункер поворотный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313.5pt">
            <v:imagedata r:id="rId4" o:title=""/>
          </v:shape>
        </w:pict>
      </w:r>
    </w:p>
    <w:p w:rsidR="00000000" w:rsidRDefault="007260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</w:t>
      </w:r>
    </w:p>
    <w:p w:rsidR="00000000" w:rsidRDefault="0072604D">
      <w:pPr>
        <w:ind w:firstLine="2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2604D">
      <w:pPr>
        <w:ind w:firstLine="225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851"/>
        <w:gridCol w:w="850"/>
        <w:gridCol w:w="992"/>
        <w:gridCol w:w="742"/>
        <w:gridCol w:w="676"/>
        <w:gridCol w:w="709"/>
        <w:gridCol w:w="708"/>
        <w:gridCol w:w="803"/>
        <w:gridCol w:w="7"/>
        <w:gridCol w:w="802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675" w:type="dxa"/>
            <w:tcBorders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Тип бункера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Номинальная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Грузоподъемность,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Допускаемая перегр</w:t>
            </w:r>
            <w:r>
              <w:rPr>
                <w:rFonts w:ascii="Times New Roman" w:hAnsi="Times New Roman"/>
              </w:rPr>
              <w:t xml:space="preserve">узка,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Номинальная возмущающая </w:t>
            </w:r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Размеры, мм</w:t>
            </w:r>
          </w:p>
        </w:tc>
        <w:tc>
          <w:tcPr>
            <w:tcW w:w="809" w:type="dxa"/>
            <w:gridSpan w:val="2"/>
            <w:tcBorders>
              <w:lef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Масса (без вибратора),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вместимость,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%, не более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сила вибратора, H (</w:t>
            </w:r>
            <w:proofErr w:type="spellStart"/>
            <w:r>
              <w:rPr>
                <w:rFonts w:ascii="Times New Roman" w:hAnsi="Times New Roman"/>
              </w:rPr>
              <w:t>кгс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i/>
                <w:vanish/>
              </w:rPr>
            </w:pPr>
            <w:proofErr w:type="spellStart"/>
            <w:r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i/>
                <w:vanish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i/>
                <w:vanish/>
              </w:rPr>
            </w:pPr>
            <w:proofErr w:type="spellStart"/>
            <w:r>
              <w:rPr>
                <w:rFonts w:ascii="Times New Roman" w:hAnsi="Times New Roman"/>
                <w:i/>
              </w:rPr>
              <w:t>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i/>
                <w:vanish/>
              </w:rPr>
            </w:pPr>
            <w:r>
              <w:rPr>
                <w:rFonts w:ascii="Times New Roman" w:hAnsi="Times New Roman"/>
                <w:i/>
              </w:rPr>
              <w:t>D</w:t>
            </w: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i/>
                <w:vanish/>
              </w:rPr>
            </w:pPr>
            <w:r>
              <w:rPr>
                <w:rFonts w:ascii="Times New Roman" w:hAnsi="Times New Roman"/>
                <w:i/>
              </w:rPr>
              <w:t>L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75" w:type="dxa"/>
            <w:tcBorders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75" w:type="dxa"/>
            <w:tcBorders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(200)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75" w:type="dxa"/>
            <w:tcBorders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</w:tcBorders>
          </w:tcPr>
          <w:p w:rsidR="00000000" w:rsidRDefault="007260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</w:tbl>
    <w:p w:rsidR="00000000" w:rsidRDefault="0072604D">
      <w:pPr>
        <w:pStyle w:val="Preformat"/>
        <w:rPr>
          <w:rFonts w:ascii="Times New Roman" w:hAnsi="Times New Roman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бункера поворотного вместимостью 1 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без вибратора, для районов с умеренным климатом:</w:t>
      </w: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Бункер БП-1,0 ГОСТ 21807-7</w:t>
      </w:r>
      <w:r>
        <w:rPr>
          <w:rFonts w:ascii="Times New Roman" w:hAnsi="Times New Roman"/>
          <w:b w:val="0"/>
          <w:i/>
          <w:sz w:val="20"/>
        </w:rPr>
        <w:t>6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районов с холодным климатом: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Бункер БПХЛ-1,0 ГОСТ 21807-76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вибратором для районов с умеренным климатом: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Бункер БПВ-1,0 ГОСТ 21807-76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районов с холодным климатом: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Бункер БПВХЛ-1,0 ГОСТ 21807-76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бункера неповоротного вместимостью 1 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без вибратора для районов с умеренным климатом:</w:t>
      </w: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Бункер БН-1,0 ГОСТ 21807-76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районов с холодным климатом: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Бункер БНХЛ-1,0 ГОСТ 21807-76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вибратором для районов с умеренным климатом: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Бункер БНВ-1,0 ГОСТ 21807-76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</w:t>
      </w:r>
      <w:r>
        <w:rPr>
          <w:rFonts w:ascii="Times New Roman" w:hAnsi="Times New Roman"/>
          <w:sz w:val="20"/>
        </w:rPr>
        <w:t xml:space="preserve"> же, для районов с холодным климатом: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Бункер БНВХЛ-1,0 ГОСТ 21807-76 </w:t>
      </w:r>
    </w:p>
    <w:p w:rsidR="00000000" w:rsidRDefault="0072604D">
      <w:pPr>
        <w:pStyle w:val="Heading"/>
        <w:jc w:val="center"/>
        <w:rPr>
          <w:rFonts w:ascii="Times New Roman" w:hAnsi="Times New Roman"/>
          <w:b w:val="0"/>
          <w:i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</w:t>
      </w:r>
    </w:p>
    <w:p w:rsidR="00000000" w:rsidRDefault="0072604D">
      <w:pPr>
        <w:rPr>
          <w:rFonts w:ascii="Times New Roman" w:hAnsi="Times New Roman"/>
          <w:b/>
          <w:sz w:val="20"/>
        </w:rPr>
      </w:pPr>
    </w:p>
    <w:p w:rsidR="00000000" w:rsidRDefault="0072604D">
      <w:pPr>
        <w:rPr>
          <w:rFonts w:ascii="Times New Roman" w:hAnsi="Times New Roman"/>
          <w:b/>
          <w:sz w:val="20"/>
        </w:rPr>
      </w:pPr>
    </w:p>
    <w:p w:rsidR="00000000" w:rsidRDefault="0072604D">
      <w:pPr>
        <w:rPr>
          <w:rFonts w:ascii="Times New Roman" w:hAnsi="Times New Roman"/>
          <w:b/>
          <w:sz w:val="20"/>
        </w:rPr>
      </w:pPr>
    </w:p>
    <w:p w:rsidR="00000000" w:rsidRDefault="0072604D">
      <w:pPr>
        <w:rPr>
          <w:rFonts w:ascii="Times New Roman" w:hAnsi="Times New Roman"/>
          <w:b/>
          <w:sz w:val="20"/>
        </w:rPr>
      </w:pPr>
    </w:p>
    <w:p w:rsidR="00000000" w:rsidRDefault="0072604D">
      <w:pPr>
        <w:rPr>
          <w:rFonts w:ascii="Times New Roman" w:hAnsi="Times New Roman"/>
          <w:b/>
          <w:sz w:val="20"/>
        </w:rPr>
      </w:pPr>
    </w:p>
    <w:p w:rsidR="00000000" w:rsidRDefault="0072604D">
      <w:pPr>
        <w:rPr>
          <w:rFonts w:ascii="Times New Roman" w:hAnsi="Times New Roman"/>
          <w:b/>
          <w:sz w:val="20"/>
        </w:rPr>
      </w:pPr>
    </w:p>
    <w:p w:rsidR="00000000" w:rsidRDefault="0072604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Бункер неповоротный</w:t>
      </w:r>
    </w:p>
    <w:p w:rsidR="00000000" w:rsidRDefault="0072604D">
      <w:pPr>
        <w:jc w:val="center"/>
        <w:rPr>
          <w:rFonts w:ascii="Times New Roman" w:hAnsi="Times New Roman"/>
          <w:b/>
          <w:sz w:val="20"/>
        </w:rPr>
      </w:pPr>
    </w:p>
    <w:p w:rsidR="00000000" w:rsidRDefault="007260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pict>
          <v:shape id="_x0000_i1026" type="#_x0000_t75" style="width:232.5pt;height:385.5pt">
            <v:imagedata r:id="rId5" o:title=""/>
          </v:shape>
        </w:pict>
      </w:r>
    </w:p>
    <w:p w:rsidR="00000000" w:rsidRDefault="007260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72604D">
      <w:pPr>
        <w:pStyle w:val="Heading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rPr>
          <w:rFonts w:ascii="Times New Roman" w:hAnsi="Times New Roman"/>
          <w:sz w:val="20"/>
        </w:rPr>
      </w:pPr>
    </w:p>
    <w:p w:rsidR="00000000" w:rsidRDefault="0072604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ТЕХНИЧЕСКИЕ ТРЕБОВАНИЯ</w:t>
      </w:r>
    </w:p>
    <w:p w:rsidR="00000000" w:rsidRDefault="0072604D">
      <w:pPr>
        <w:jc w:val="center"/>
        <w:rPr>
          <w:rFonts w:ascii="Times New Roman" w:hAnsi="Times New Roman"/>
          <w:b/>
          <w:sz w:val="20"/>
        </w:rPr>
      </w:pPr>
    </w:p>
    <w:p w:rsidR="00000000" w:rsidRDefault="0072604D">
      <w:pPr>
        <w:jc w:val="center"/>
        <w:rPr>
          <w:rFonts w:ascii="Times New Roman" w:hAnsi="Times New Roman"/>
          <w:b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Переносные бункеры для бетонной смеси должны изготавливаться в соответствии с требованиями настоящего стандарта, климатических </w:t>
      </w:r>
      <w:proofErr w:type="spellStart"/>
      <w:r>
        <w:rPr>
          <w:rFonts w:ascii="Times New Roman" w:hAnsi="Times New Roman"/>
          <w:sz w:val="20"/>
        </w:rPr>
        <w:t>исполнений</w:t>
      </w:r>
      <w:proofErr w:type="spellEnd"/>
      <w:r>
        <w:rPr>
          <w:rFonts w:ascii="Times New Roman" w:hAnsi="Times New Roman"/>
          <w:sz w:val="20"/>
        </w:rPr>
        <w:t xml:space="preserve"> по ГОСТ 15150-69, по чертежам, утвержденным в установленном порядке, а также по образцам (эталонам) предприятия-изготовителя.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Предельные отклонения в размерах переносных бункеров указываются в </w:t>
      </w:r>
      <w:r>
        <w:rPr>
          <w:rFonts w:ascii="Times New Roman" w:hAnsi="Times New Roman"/>
          <w:sz w:val="20"/>
        </w:rPr>
        <w:t>чертежах.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Затвор бункера должен обеспечивать: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плотное перекрытие выгрузного отверстия;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возможность порционной выгрузки бетонной смеси;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свободный (без </w:t>
      </w:r>
      <w:proofErr w:type="spellStart"/>
      <w:r>
        <w:rPr>
          <w:rFonts w:ascii="Times New Roman" w:hAnsi="Times New Roman"/>
          <w:sz w:val="20"/>
        </w:rPr>
        <w:t>заеданий</w:t>
      </w:r>
      <w:proofErr w:type="spellEnd"/>
      <w:r>
        <w:rPr>
          <w:rFonts w:ascii="Times New Roman" w:hAnsi="Times New Roman"/>
          <w:sz w:val="20"/>
        </w:rPr>
        <w:t>) поворот на опорах;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г) усилие на рукоятке не более 60 Н (6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Затвор должен исключать возможность саморазгрузки бункера.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Все резьбовые соединения должны быть законтрены.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3.5.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Основные детали бункеров должны изготавливаться из материалов, указанных в табл. 2.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72604D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right w:val="nil"/>
            </w:tcBorders>
          </w:tcPr>
          <w:p w:rsidR="00000000" w:rsidRDefault="0072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5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2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для райо</w:t>
            </w:r>
            <w:r>
              <w:rPr>
                <w:rFonts w:ascii="Times New Roman" w:hAnsi="Times New Roman"/>
                <w:sz w:val="20"/>
              </w:rPr>
              <w:t>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72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деталей</w:t>
            </w:r>
          </w:p>
        </w:tc>
        <w:tc>
          <w:tcPr>
            <w:tcW w:w="2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умеренного климата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72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холодного климата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nil"/>
              <w:right w:val="nil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Корпус</w:t>
            </w:r>
          </w:p>
        </w:tc>
        <w:tc>
          <w:tcPr>
            <w:tcW w:w="28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ВСт3пс по ГОСТ 380-88</w:t>
            </w:r>
          </w:p>
        </w:tc>
        <w:tc>
          <w:tcPr>
            <w:tcW w:w="2843" w:type="dxa"/>
            <w:tcBorders>
              <w:top w:val="nil"/>
              <w:left w:val="nil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ВСт3сп по ГОСТ 380-88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right w:val="nil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Петли</w:t>
            </w:r>
          </w:p>
        </w:tc>
        <w:tc>
          <w:tcPr>
            <w:tcW w:w="2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20 по ГОСТ 1050-74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15ХСНД, 09 Г2С по 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right w:val="nil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Затвор</w:t>
            </w:r>
          </w:p>
        </w:tc>
        <w:tc>
          <w:tcPr>
            <w:tcW w:w="2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ВСт3пс по ГОСТ 380-88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7260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ВСт3сп по ГОСТ 380-88</w:t>
            </w:r>
          </w:p>
        </w:tc>
      </w:tr>
    </w:tbl>
    <w:p w:rsidR="00000000" w:rsidRDefault="0072604D">
      <w:pPr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изготавливать основные детали бункеров из стали других марок, обеспечивающих механические свойства не ниже чем сталей указанных марок.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Размеры петель бункеров должны соответствовать размерам </w:t>
      </w:r>
      <w:proofErr w:type="spellStart"/>
      <w:r>
        <w:rPr>
          <w:rFonts w:ascii="Times New Roman" w:hAnsi="Times New Roman"/>
          <w:sz w:val="20"/>
        </w:rPr>
        <w:t>чалочных</w:t>
      </w:r>
      <w:proofErr w:type="spellEnd"/>
      <w:r>
        <w:rPr>
          <w:rFonts w:ascii="Times New Roman" w:hAnsi="Times New Roman"/>
          <w:sz w:val="20"/>
        </w:rPr>
        <w:t xml:space="preserve"> крюков по ГОСТ 25573-82.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Петли (основ</w:t>
      </w:r>
      <w:r>
        <w:rPr>
          <w:rFonts w:ascii="Times New Roman" w:hAnsi="Times New Roman"/>
          <w:sz w:val="20"/>
        </w:rPr>
        <w:t>ной металл и сварные швы) бункеров должны иметь запас прочности по отношению к пределу текучести не менее пяти.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Допустимые параметры и продолжительность воздействия вибрации на рукоятку затвора бункера не должны превышать допустимых норм по ГОСТ 17770-86.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Типы и конструктивные элементы швов сварных соединений следует принимать по ГОСТ 5264-80 или ГОСТ 8713-79.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3.11. Трещины, </w:t>
      </w:r>
      <w:proofErr w:type="spellStart"/>
      <w:r>
        <w:rPr>
          <w:rFonts w:ascii="Times New Roman" w:hAnsi="Times New Roman"/>
          <w:sz w:val="20"/>
        </w:rPr>
        <w:t>непровары</w:t>
      </w:r>
      <w:proofErr w:type="spellEnd"/>
      <w:r>
        <w:rPr>
          <w:rFonts w:ascii="Times New Roman" w:hAnsi="Times New Roman"/>
          <w:sz w:val="20"/>
        </w:rPr>
        <w:t>, прожоги в сварных швах не допускаются.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3.12.Сварные соединения перед окраской должны быть приняты техническим ко</w:t>
      </w:r>
      <w:r>
        <w:rPr>
          <w:rFonts w:ascii="Times New Roman" w:hAnsi="Times New Roman"/>
          <w:sz w:val="20"/>
        </w:rPr>
        <w:t>нтролем предприятия-изготовителя.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 Наружные поверхности переносных бункеров для бетонной смеси должны быть покрыты эмалью ПФ-115 по ГОСТ 6465-76, для эксплуатации на открытом воздухе в промышленной атмосфере умеренного климатического района по ГОСТ 9.032-74, IV класс, допускается окраска другими эмалями, по качеству не ниже вышеуказанной.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 Расчет сварных соединений и окраска переносных поворотных и неповоротных бункеров для бетонной смеси, применяемых в районах с х</w:t>
      </w:r>
      <w:r>
        <w:rPr>
          <w:rFonts w:ascii="Times New Roman" w:hAnsi="Times New Roman"/>
          <w:sz w:val="20"/>
        </w:rPr>
        <w:t>олодным климатом, должны удовлетворять требованиям ГОСТ 14892-69.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 Все обработанные, но не подлежащие окраске поверхности должны быть покрыты солидолом Ж по ГОСТ 1033-79.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КОМПЛЕКТНОСТЬ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Бункеры поставляются в собранном виде.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По согласованию с заказчиком бункеры поставляются с вибратором или без вибратора.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К каждому поставляемому бункеру должен быть приложен паспорт, включающий инструкцию по эксплуатации.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ПРАВИЛА ПР</w:t>
      </w:r>
      <w:r>
        <w:rPr>
          <w:rFonts w:ascii="Times New Roman" w:hAnsi="Times New Roman"/>
          <w:sz w:val="20"/>
        </w:rPr>
        <w:t>ИЕМКИ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Каждый бункер должен быть принят техническим контролем предприятия-изготовителя.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 приемке бункеров проверяют: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внешнего вида;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бункеров, правильность установки фиксаторов и петель;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плотность перекрытия выгрузного отверстия затвора;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возможность самопроизвольного открывания затвора;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качество сварных швов;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качество лакокрасочных покрытий.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Потребитель имеет право проводить контрольную выборочную проверку соответствия бункеров требованиям настоящего стандарта, соблюдая п</w:t>
      </w:r>
      <w:r>
        <w:rPr>
          <w:rFonts w:ascii="Times New Roman" w:hAnsi="Times New Roman"/>
          <w:sz w:val="20"/>
        </w:rPr>
        <w:t>ри этом указанный ниже порядок отбора образцов и последовательность контроля.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Для контрольной выборочной проверки отбирается от партии один бункер каждого типоразмера. Партией считается количество бункеров, поставляемых одновременно одному потребителю, но не более 10 шт.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При выборочном контроле, кроме требований, изложенных в п. 5.2, проверяется прочность петель и их сварных швов на нагрузку, превышающую допускаемую на 25 %.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Если при контрольной проверке хотя бы один бункер не будет удовлетво</w:t>
      </w:r>
      <w:r>
        <w:rPr>
          <w:rFonts w:ascii="Times New Roman" w:hAnsi="Times New Roman"/>
          <w:sz w:val="20"/>
        </w:rPr>
        <w:t>рять требованиям настоящего стандарта, потребитель имеет право проводить проверку каждого бункера данной партии.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По требованию потребителя предприятие-изготовитель обязано предъявлять акты контрольной выборочной проверки бункеров.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МЕТОДЫ КОНТРОЛЯ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Оценка внешнего вида (и формы) бункеров производится путем осмотра.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Правильность размеров корпуса, грузоподъемных петель, затвора и установки устройства, исключающего его самопроизвольное открывание, необходимо п</w:t>
      </w:r>
      <w:r>
        <w:rPr>
          <w:rFonts w:ascii="Times New Roman" w:hAnsi="Times New Roman"/>
          <w:sz w:val="20"/>
        </w:rPr>
        <w:t>роверять металлической рулеткой 2-го класса точности по ГОСТ 7502-80.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Плотность перекрытия выгрузного отверстия затвора проверяется при полностью закрытом затворе на наличие зазора между корпусом бункера и затвором. Зазор допускается не более 3 мм.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Контроль сварных швов проводится по ГОСТ 3242-79. Вид контроля - технический осмотр.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Качество лакокрасочных покрытий определяется по ГОСТ 5233-67.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6.3; 6.4.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МАРКИРОВКА, УПАКОВКА, ТРАНСПОРТИРОВАНИЕ И ХРАНЕНИЕ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>1. На верхней части бункера должна прикрепляться металлическая прямоугольная табличка по ГОСТ 12969-67 и ГОСТ 12971-67, содержащая: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или краткое наименование предприятия-изготовителя;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обозначение бункера в соответствии с настоящим стандартом;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бункера;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предельную грузоподъемность;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год и месяц выпуска.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Бункеры следует транспортировать без упаковки любым видом транспорта с соблюдением правил перевозки грузов на соответствующих транспортных средствах.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 Бункеры следует </w:t>
      </w:r>
      <w:r>
        <w:rPr>
          <w:rFonts w:ascii="Times New Roman" w:hAnsi="Times New Roman"/>
          <w:sz w:val="20"/>
        </w:rPr>
        <w:t>хранить уложенными на деревянные подкладки не более чем в два ряда.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ТЕХНИКА БЕЗОПАСНОСТИ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8.1. Вибратор должен подключаться к сети напряжением не выше 42 В через </w:t>
      </w:r>
      <w:proofErr w:type="spellStart"/>
      <w:r>
        <w:rPr>
          <w:rFonts w:ascii="Times New Roman" w:hAnsi="Times New Roman"/>
          <w:sz w:val="20"/>
        </w:rPr>
        <w:t>трехконтактный</w:t>
      </w:r>
      <w:proofErr w:type="spellEnd"/>
      <w:r>
        <w:rPr>
          <w:rFonts w:ascii="Times New Roman" w:hAnsi="Times New Roman"/>
          <w:sz w:val="20"/>
        </w:rPr>
        <w:t xml:space="preserve"> штепсельный разъем.</w:t>
      </w:r>
    </w:p>
    <w:p w:rsidR="00000000" w:rsidRDefault="0072604D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ГАРАНТИИ ИЗГОТОВИТЕЛЯ</w:t>
      </w:r>
    </w:p>
    <w:p w:rsidR="00000000" w:rsidRDefault="007260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9.1. Изготовитель должен гарантировать соответствие бункеров требованиям настоящего стандарта при соблюдении потребителем условий транспортирования, хранения и эксплуатации, установленных стандартом.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9.2. Гарантийный срок службы бункера - не менее год</w:t>
      </w:r>
      <w:r>
        <w:rPr>
          <w:rFonts w:ascii="Times New Roman" w:hAnsi="Times New Roman"/>
          <w:sz w:val="20"/>
        </w:rPr>
        <w:t>а с начала эксплуатации, но не более 18 месяцев со дня отгрузки с предприятия-изготовителя.</w:t>
      </w:r>
    </w:p>
    <w:p w:rsidR="00000000" w:rsidRDefault="0072604D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04D"/>
    <w:rsid w:val="007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8138</Characters>
  <Application>Microsoft Office Word</Application>
  <DocSecurity>0</DocSecurity>
  <Lines>67</Lines>
  <Paragraphs>19</Paragraphs>
  <ScaleCrop>false</ScaleCrop>
  <Company>Elcom Ltd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21807-76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