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5EA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22131-76</w:t>
      </w:r>
    </w:p>
    <w:p w:rsidR="00000000" w:rsidRDefault="00505EA2">
      <w:pPr>
        <w:jc w:val="right"/>
        <w:rPr>
          <w:rFonts w:ascii="Times New Roman" w:hAnsi="Times New Roman"/>
          <w:sz w:val="20"/>
        </w:rPr>
      </w:pPr>
    </w:p>
    <w:p w:rsidR="00000000" w:rsidRDefault="00505EA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621.315.668.3:006.354                                                                                             Группа Ж83 </w:t>
      </w:r>
    </w:p>
    <w:p w:rsidR="00000000" w:rsidRDefault="00505EA2">
      <w:pPr>
        <w:pStyle w:val="Preformat"/>
        <w:jc w:val="right"/>
        <w:rPr>
          <w:rFonts w:ascii="Times New Roman" w:hAnsi="Times New Roman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ОПОРЫ ЖЕЛЕЗОБЕТОННЫЕ ВЫСОКОВОЛЬТНО-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СИГНАЛЬНЫХ ЛИНИЙ АВТОБЛОКИРОВКИ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ЖЕЛЕЗН</w:t>
      </w:r>
      <w:r>
        <w:rPr>
          <w:rFonts w:ascii="Times New Roman" w:hAnsi="Times New Roman"/>
          <w:sz w:val="20"/>
        </w:rPr>
        <w:t>ЫХ ДОРОГ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towers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railway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high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voltage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signal</w:t>
      </w:r>
      <w:proofErr w:type="spellEnd"/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line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autoblock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reguirements</w:t>
      </w:r>
      <w:proofErr w:type="spellEnd"/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1977-07-01 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Совета Министров СССР по делам строительства от 26 августа 1976 г. № 141 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Октябрь 1979 г.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железобетонные предварительно напряженные центрифугированные стойки, предназначенные для устройства опор </w:t>
      </w:r>
      <w:proofErr w:type="spellStart"/>
      <w:r>
        <w:rPr>
          <w:rFonts w:ascii="Times New Roman" w:hAnsi="Times New Roman"/>
          <w:sz w:val="20"/>
        </w:rPr>
        <w:t>высоковольтно-сигнальных</w:t>
      </w:r>
      <w:proofErr w:type="spellEnd"/>
      <w:r>
        <w:rPr>
          <w:rFonts w:ascii="Times New Roman" w:hAnsi="Times New Roman"/>
          <w:sz w:val="20"/>
        </w:rPr>
        <w:t xml:space="preserve"> линий автоблокиров</w:t>
      </w:r>
      <w:r>
        <w:rPr>
          <w:rFonts w:ascii="Times New Roman" w:hAnsi="Times New Roman"/>
          <w:sz w:val="20"/>
        </w:rPr>
        <w:t xml:space="preserve">ки железных дорог напряжением 6 - 10 </w:t>
      </w:r>
      <w:proofErr w:type="spellStart"/>
      <w:r>
        <w:rPr>
          <w:rFonts w:ascii="Times New Roman" w:hAnsi="Times New Roman"/>
          <w:sz w:val="20"/>
        </w:rPr>
        <w:t>кВ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ОСНОВНЫЕ РАЗМЕРЫ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Типы, основные размеры стоек, изгибающие моменты при образовании трещин и расположение отверстий для крепления траверс должны соответствовать указанным на черт. 1, 2 и в таблице.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Железобетонная стойка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78pt">
            <v:imagedata r:id="rId4" o:title=""/>
          </v:shape>
        </w:pict>
      </w: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заглушка верхняя; 2 - отверстия для крепления траверс; </w:t>
      </w: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заглушка нижняя.</w:t>
      </w:r>
    </w:p>
    <w:p w:rsidR="00000000" w:rsidRDefault="00505EA2">
      <w:pPr>
        <w:pStyle w:val="Preformat"/>
        <w:rPr>
          <w:rFonts w:ascii="Times New Roman" w:hAnsi="Times New Roman"/>
        </w:rPr>
      </w:pP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расположения отверстий для крепления траверс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подкосов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24.75pt;height:98.25pt">
            <v:imagedata r:id="rId5" o:title=""/>
          </v:shape>
        </w:pict>
      </w: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6"/>
        <w:gridCol w:w="900"/>
        <w:gridCol w:w="1134"/>
        <w:gridCol w:w="851"/>
        <w:gridCol w:w="850"/>
        <w:gridCol w:w="3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Типы стоек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Основные размеры, мм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Изгибающий момент, воспринимаемый сече</w:t>
            </w:r>
            <w:r>
              <w:rPr>
                <w:rFonts w:ascii="Times New Roman" w:hAnsi="Times New Roman"/>
              </w:rPr>
              <w:t>нием, нормальным к продольной оси стойки при образовании трещин,</w:t>
            </w:r>
            <w:r>
              <w:rPr>
                <w:rFonts w:ascii="Times New Roman" w:hAnsi="Times New Roman"/>
                <w:position w:val="-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L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27" type="#_x0000_t75" style="width:12pt;height:15.75pt">
                  <v:imagedata r:id="rId6" o:title=""/>
                </v:shape>
              </w:pic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28" type="#_x0000_t75" style="width:17.25pt;height:15.75pt">
                  <v:imagedata r:id="rId7" o:title=""/>
                </v:shape>
              </w:pic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29" type="#_x0000_t75" style="width:9.75pt;height:14.25pt">
                  <v:imagedata r:id="rId8" o:title=""/>
                </v:shape>
              </w:pict>
            </w:r>
          </w:p>
        </w:tc>
        <w:tc>
          <w:tcPr>
            <w:tcW w:w="3646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position w:val="-4"/>
              </w:rPr>
              <w:pict>
                <v:shape id="_x0000_i1030" type="#_x0000_t75" style="width:20.25pt;height:15.75pt">
                  <v:imagedata r:id="rId9" o:title=""/>
                </v:shape>
              </w:pic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кН</w:t>
            </w:r>
            <w:proofErr w:type="spellEnd"/>
            <w:r>
              <w:rPr>
                <w:rFonts w:ascii="Times New Roman" w:hAnsi="Times New Roman"/>
              </w:rPr>
              <w:t>·м (т·м)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С1,85/10,1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10100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18,5 (</w:t>
            </w:r>
            <w:r>
              <w:rPr>
                <w:rFonts w:ascii="Times New Roman" w:hAnsi="Times New Roman"/>
                <w:position w:val="3"/>
              </w:rPr>
              <w:pict>
                <v:shape id="_x0000_i1031" type="#_x0000_t75" style="width:11.25pt;height:8.25pt">
                  <v:imagedata r:id="rId10" o:title=""/>
                </v:shape>
              </w:pict>
            </w:r>
            <w:r>
              <w:rPr>
                <w:rFonts w:ascii="Times New Roman" w:hAnsi="Times New Roman"/>
              </w:rPr>
              <w:t>1,85)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С2,55/10,1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10100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6" w:type="dxa"/>
            <w:tcBorders>
              <w:left w:val="nil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25,5 (</w:t>
            </w:r>
            <w:r>
              <w:rPr>
                <w:rFonts w:ascii="Times New Roman" w:hAnsi="Times New Roman"/>
                <w:position w:val="3"/>
              </w:rPr>
              <w:pict>
                <v:shape id="_x0000_i1032" type="#_x0000_t75" style="width:11.25pt;height:9pt">
                  <v:imagedata r:id="rId10" o:title=""/>
                </v:shape>
              </w:pict>
            </w:r>
            <w:r>
              <w:rPr>
                <w:rFonts w:ascii="Times New Roman" w:hAnsi="Times New Roman"/>
              </w:rPr>
              <w:t>2,55)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С2/11,1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11100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05EA2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20,0 (</w:t>
            </w:r>
            <w:r>
              <w:rPr>
                <w:rFonts w:ascii="Times New Roman" w:hAnsi="Times New Roman"/>
                <w:position w:val="3"/>
              </w:rPr>
              <w:pict>
                <v:shape id="_x0000_i1033" type="#_x0000_t75" style="width:11.25pt;height:9pt">
                  <v:imagedata r:id="rId10" o:title=""/>
                </v:shape>
              </w:pict>
            </w:r>
            <w:r>
              <w:rPr>
                <w:rFonts w:ascii="Times New Roman" w:hAnsi="Times New Roman"/>
              </w:rPr>
              <w:t>2,00)</w:t>
            </w:r>
          </w:p>
        </w:tc>
      </w:tr>
    </w:tbl>
    <w:p w:rsidR="00000000" w:rsidRDefault="00505EA2">
      <w:pPr>
        <w:pStyle w:val="Preformat"/>
        <w:rPr>
          <w:rFonts w:ascii="Times New Roman" w:hAnsi="Times New Roman"/>
          <w:vanish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условном обозначении типа стойки буква "С" означает сокращенное наименование (стойка); цифры в числителе - величину момента в т · м при образовании трещин в поперечном сечении на расстоянии 1,7 м от нижнего торца стойки, а в знаменателе - длину стойки в метрах. При усовершенствовании или модер</w:t>
      </w:r>
      <w:r>
        <w:rPr>
          <w:rFonts w:ascii="Times New Roman" w:hAnsi="Times New Roman"/>
          <w:sz w:val="20"/>
        </w:rPr>
        <w:t>низации допускается добавлять в обозначение типа стойки соответственно букву "у" или "м".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В стойках по требованию потребителя допускаются отверстия для крепления анкерных плит </w:t>
      </w:r>
      <w:proofErr w:type="spellStart"/>
      <w:r>
        <w:rPr>
          <w:rFonts w:ascii="Times New Roman" w:hAnsi="Times New Roman"/>
          <w:sz w:val="20"/>
        </w:rPr>
        <w:t>А-образных</w:t>
      </w:r>
      <w:proofErr w:type="spellEnd"/>
      <w:r>
        <w:rPr>
          <w:rFonts w:ascii="Times New Roman" w:hAnsi="Times New Roman"/>
          <w:sz w:val="20"/>
        </w:rPr>
        <w:t xml:space="preserve"> опор.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нижней части стоек допускаются вентиляционные отверстия, аналогичные отверстиям для крепления траверс.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Стойки следует изготовлять в соответствии с требованиями настоящего стандарта по рабочим чертежам, утвержденным в установленном порядке.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Стойки должны изготовляться из тяж</w:t>
      </w:r>
      <w:r>
        <w:rPr>
          <w:rFonts w:ascii="Times New Roman" w:hAnsi="Times New Roman"/>
          <w:sz w:val="20"/>
        </w:rPr>
        <w:t>елого бетона марки по прочности на сжатие не ниже: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400 - для стоек типов С1,85/10,1 и С2/11,1;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500 - для стоек типа С2,55/10,1.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Прочность бетона стоек на сжатие при передаче на бетон предварительного напряжения должна быть не менее: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pict>
          <v:shape id="_x0000_i1034" type="#_x0000_t75" style="width:11.25pt;height:9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300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35" type="#_x0000_t75" style="width:9pt;height:17.25pt">
            <v:imagedata r:id="rId11" o:title=""/>
          </v:shape>
        </w:pict>
      </w:r>
      <w:r>
        <w:rPr>
          <w:rFonts w:ascii="Times New Roman" w:hAnsi="Times New Roman"/>
          <w:sz w:val="20"/>
        </w:rPr>
        <w:t>) для стоек типов С1,85/10,1 и С2/11,1;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pict>
          <v:shape id="_x0000_i1036" type="#_x0000_t75" style="width:11.25pt;height:9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400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37" type="#_x0000_t75" style="width:9pt;height:17.25pt">
            <v:imagedata r:id="rId11" o:title=""/>
          </v:shape>
        </w:pict>
      </w:r>
      <w:r>
        <w:rPr>
          <w:rFonts w:ascii="Times New Roman" w:hAnsi="Times New Roman"/>
          <w:sz w:val="20"/>
        </w:rPr>
        <w:t>) для стоек типа С2,55/10,1.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Разница температуры бетона и воздуха при </w:t>
      </w:r>
      <w:proofErr w:type="spellStart"/>
      <w:r>
        <w:rPr>
          <w:rFonts w:ascii="Times New Roman" w:hAnsi="Times New Roman"/>
          <w:sz w:val="20"/>
        </w:rPr>
        <w:t>распалубливании</w:t>
      </w:r>
      <w:proofErr w:type="spellEnd"/>
      <w:r>
        <w:rPr>
          <w:rFonts w:ascii="Times New Roman" w:hAnsi="Times New Roman"/>
          <w:sz w:val="20"/>
        </w:rPr>
        <w:t xml:space="preserve"> стоек и выдаче их из цеха на открытый склад не должна превышать 35°С.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Отпускная прочность бетона с</w:t>
      </w:r>
      <w:r>
        <w:rPr>
          <w:rFonts w:ascii="Times New Roman" w:hAnsi="Times New Roman"/>
          <w:sz w:val="20"/>
        </w:rPr>
        <w:t>тоек в момент их отгрузки с предприятия-изготовителя должна быть не ниже приведенной в п. 2.3.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Марка бетона стоек по морозостойкости должна быть не ниже </w:t>
      </w:r>
      <w:proofErr w:type="spellStart"/>
      <w:r>
        <w:rPr>
          <w:rFonts w:ascii="Times New Roman" w:hAnsi="Times New Roman"/>
          <w:sz w:val="20"/>
        </w:rPr>
        <w:t>Мрз</w:t>
      </w:r>
      <w:proofErr w:type="spellEnd"/>
      <w:r>
        <w:rPr>
          <w:rFonts w:ascii="Times New Roman" w:hAnsi="Times New Roman"/>
          <w:sz w:val="20"/>
        </w:rPr>
        <w:t xml:space="preserve"> 100 для районов с расчетной температурой наружного воздуха (средняя температура наиболее холодной пятидневки) по СНиП II-А.6-72 минус 20°С и выше, </w:t>
      </w:r>
      <w:proofErr w:type="spellStart"/>
      <w:r>
        <w:rPr>
          <w:rFonts w:ascii="Times New Roman" w:hAnsi="Times New Roman"/>
          <w:sz w:val="20"/>
        </w:rPr>
        <w:t>Мрз</w:t>
      </w:r>
      <w:proofErr w:type="spellEnd"/>
      <w:r>
        <w:rPr>
          <w:rFonts w:ascii="Times New Roman" w:hAnsi="Times New Roman"/>
          <w:sz w:val="20"/>
        </w:rPr>
        <w:t xml:space="preserve"> 150 с расчетной температурой наружного воздуха от минус 21°С до минус 40°С и </w:t>
      </w:r>
      <w:proofErr w:type="spellStart"/>
      <w:r>
        <w:rPr>
          <w:rFonts w:ascii="Times New Roman" w:hAnsi="Times New Roman"/>
          <w:sz w:val="20"/>
        </w:rPr>
        <w:t>Мрз</w:t>
      </w:r>
      <w:proofErr w:type="spellEnd"/>
      <w:r>
        <w:rPr>
          <w:rFonts w:ascii="Times New Roman" w:hAnsi="Times New Roman"/>
          <w:sz w:val="20"/>
        </w:rPr>
        <w:t xml:space="preserve"> 200 с расчетной температурой наружного воздуха ниже минус 40°С.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Материалы, применяемые для изготовления стоек, до</w:t>
      </w:r>
      <w:r>
        <w:rPr>
          <w:rFonts w:ascii="Times New Roman" w:hAnsi="Times New Roman"/>
          <w:sz w:val="20"/>
        </w:rPr>
        <w:t>лжны обеспечивать получение бетона заданных марок по прочности и морозостойкости и должны соответствовать: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портландцемент - ГОСТ 10178-76;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и песок - ГОСТ 10268-70;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сульфито-спиртовая</w:t>
      </w:r>
      <w:proofErr w:type="spellEnd"/>
      <w:r>
        <w:rPr>
          <w:rFonts w:ascii="Times New Roman" w:hAnsi="Times New Roman"/>
          <w:sz w:val="20"/>
        </w:rPr>
        <w:t xml:space="preserve"> барда ССБ-ОСТ 81-79-74, ТУ 81-04-419-76;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смола нейтрализованная воздухововлекающая СНВ-ТУ 81-05-75-69;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гидрофобизирующая</w:t>
      </w:r>
      <w:proofErr w:type="spellEnd"/>
      <w:r>
        <w:rPr>
          <w:rFonts w:ascii="Times New Roman" w:hAnsi="Times New Roman"/>
          <w:sz w:val="20"/>
        </w:rPr>
        <w:t xml:space="preserve"> жидкость ГКЖ-94-ГОСТ 10834-76.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Подземная часть стоек должна иметь защитное покрытие на протяжении 2,2 м. Защитное покрытие на внутреннюю поверхность стоек не наносят в тех случаях, когда стойки вы</w:t>
      </w:r>
      <w:r>
        <w:rPr>
          <w:rFonts w:ascii="Times New Roman" w:hAnsi="Times New Roman"/>
          <w:sz w:val="20"/>
        </w:rPr>
        <w:t>пускают с нижней заглушкой. Выбор материалов для защитного покрытия следует производить в зависимости от вида и степени агрессивности воды-среды в соответствии со СНиП II-28-73 и инструкцией по защите железобетонных конструкций от коррозии, вызываемой блуждающими токами.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согласии потребителя допускается поставка стоек без изоляционного покрытия.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Для изготовления стоек должна применяться арматурная сталь: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высокопрочная проволока периодического профиля класса </w:t>
      </w:r>
      <w:proofErr w:type="spellStart"/>
      <w:r>
        <w:rPr>
          <w:rFonts w:ascii="Times New Roman" w:hAnsi="Times New Roman"/>
          <w:sz w:val="20"/>
        </w:rPr>
        <w:t>Вр-II</w:t>
      </w:r>
      <w:proofErr w:type="spellEnd"/>
      <w:r>
        <w:rPr>
          <w:rFonts w:ascii="Times New Roman" w:hAnsi="Times New Roman"/>
          <w:sz w:val="20"/>
        </w:rPr>
        <w:t xml:space="preserve"> диаметром 4 или 5 мм по ГОСТ 8480-6</w:t>
      </w:r>
      <w:r>
        <w:rPr>
          <w:rFonts w:ascii="Times New Roman" w:hAnsi="Times New Roman"/>
          <w:sz w:val="20"/>
        </w:rPr>
        <w:t>3 - в качестве напрягаемой арматуры;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обыкновенная профилированная арматурная проволока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по ТУ 14-4-9-71 и гладкая проволока, обработанная на профилирующих роликах, для спирали;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арматура класса А-III по ГОСТ 5781-75 - для усиливающих колец;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арматура класса А-I по ГОСТ 5781-75 - для монтажных колец.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Средняя величина контролируемого предварительного натяжения продольной арматуры должна быть не менее проектной.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натяжения отдельных проволок не должны отличаться между собой более чем на </w:t>
      </w:r>
      <w:r>
        <w:rPr>
          <w:rFonts w:ascii="Times New Roman" w:hAnsi="Times New Roman"/>
          <w:sz w:val="20"/>
        </w:rPr>
        <w:t>20%.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Стойки должны иметь проложенный в бетоне провод заземления из круглой стали диаметром 6 мм с выводами (с резьбой) для подключения заземляющих элементов.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Верхние торцы стоек должны быть заделаны бетонными заглушками. В стойках, имеющих защитное покрытие подземной части на наружной и внутренней поверхностях, нижняя заглушка не устраивается. В этом случае концы арматуры должны быть обрезаны заподлицо с бетоном, а на торцы стоек должно быть нанесено защитное покрытие.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Внешний вид и качест</w:t>
      </w:r>
      <w:r>
        <w:rPr>
          <w:rFonts w:ascii="Times New Roman" w:hAnsi="Times New Roman"/>
          <w:sz w:val="20"/>
        </w:rPr>
        <w:t>во поверхности стоек должно удовлетворять требованиям ГОСТ 13015-75.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стойках не допускаются: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трещины с раскрытием более 0,05 мм и длиной более 5 см;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незаполненные раствором швы по стыку </w:t>
      </w:r>
      <w:proofErr w:type="spellStart"/>
      <w:r>
        <w:rPr>
          <w:rFonts w:ascii="Times New Roman" w:hAnsi="Times New Roman"/>
          <w:sz w:val="20"/>
        </w:rPr>
        <w:t>полуформ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Отклонения от проектных размеров стоек не должны превышать в мм:</w:t>
      </w:r>
    </w:p>
    <w:p w:rsidR="00000000" w:rsidRDefault="00505EA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длине стойки (без заглушек) ...................  ± 20</w:t>
      </w:r>
    </w:p>
    <w:p w:rsidR="00000000" w:rsidRDefault="00505EA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наружному диаметру ............................  ±  5</w:t>
      </w:r>
    </w:p>
    <w:p w:rsidR="00000000" w:rsidRDefault="00505EA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искривлению стойки (на длине 2 м) .............  ±  3</w:t>
      </w:r>
    </w:p>
    <w:p w:rsidR="00000000" w:rsidRDefault="00505EA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толщине стенки ................................  </w:t>
      </w:r>
      <w:r>
        <w:rPr>
          <w:rFonts w:ascii="Times New Roman" w:hAnsi="Times New Roman"/>
        </w:rPr>
        <w:t>+ 8; -4</w:t>
      </w:r>
    </w:p>
    <w:p w:rsidR="00000000" w:rsidRDefault="00505EA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толщине защитного слоя бетона .................  + 5; -2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Толщина защитного слоя до рабочей (продольной) арматуры должна быть не менее 13 мм.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Готовые стойки должны быть приняты техническим контролем предприятия-изготовителя, которое обязано гарантировать соответствие стоек требованиям настоящего стандарта при соблюдении потребителем условий транспортировки, хранения, монтажа и эксплуатации.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Поставку и приемку стоек производят партиями.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Размер партии у</w:t>
      </w:r>
      <w:r>
        <w:rPr>
          <w:rFonts w:ascii="Times New Roman" w:hAnsi="Times New Roman"/>
          <w:sz w:val="20"/>
        </w:rPr>
        <w:t>станавливают в количестве не более 200 стоек одной марки, изготовленных из материалов одного качества при одинаковых условиях и за период не более 15 суток.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Внешний вид, качество поверхности, наличие отверстий для крепления траверс и выводов заземления, наличие заглушек и равномерность нанесения защитного покрытия проверяют наружным осмотром каждой стойки.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Для проверки размеров и величины искривления стоек отбирают не менее двух стоек от партии.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Проверку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производя</w:t>
      </w:r>
      <w:r>
        <w:rPr>
          <w:rFonts w:ascii="Times New Roman" w:hAnsi="Times New Roman"/>
          <w:sz w:val="20"/>
        </w:rPr>
        <w:t>т испытанием двух стоек от каждой партии. На прочность испытанием до разрушения проверяют одну стойку, вторую стойку испытывают доведением нагрузки до контрольной по образованию трещин.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Морозостойкость бетона стоек проверяют, исходя из условий их эксплуатации в конкретном климатическом районе в случаях изменения технологии изготовления бетонной смеси или условий твердения бетона стоек, но не реже двух раз в год.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При получении неудовлетворительных результатов проверки хотя бы по одному из показател</w:t>
      </w:r>
      <w:r>
        <w:rPr>
          <w:rFonts w:ascii="Times New Roman" w:hAnsi="Times New Roman"/>
          <w:sz w:val="20"/>
        </w:rPr>
        <w:t xml:space="preserve">ей, предусмотренных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3.4 - 3.6, производят повторную проверку удвоенного количества образцов, взятых от той же партии. Если при повторной проверке будут обнаружены отклонения, превышающие допускаемые, то партия стоек приемке не подлежит.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Потребитель имеет право производить контрольную проверку качества стоек, применяя для этого правила отбора образцов и методы испытания, предусмотренные настоящим стандартом.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ИСПЫТАНИЙ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Размеры стоек проверяют по ГОСТ 13015-75.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Прочность бетона</w:t>
      </w:r>
      <w:r>
        <w:rPr>
          <w:rFonts w:ascii="Times New Roman" w:hAnsi="Times New Roman"/>
          <w:sz w:val="20"/>
        </w:rPr>
        <w:t xml:space="preserve"> определяют по ГОСТ 10180-78 и ГОСТ 13015-75 испытанием на сжатие контрольных кубиков, изготовленных из бетонной смеси, прошедших ту же тепловую обработку и хранившихся в тех же условиях, что и стойки. Каждая серия контрольных кубиков должна состоять не менее чем из трех образцов.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Изготовление серий контрольных образцов должно производиться не менее одного раза в смену и при каждом изменении состава бетона или материалов, применяемых для его изготовления. Прочность </w:t>
      </w:r>
      <w:proofErr w:type="spellStart"/>
      <w:r>
        <w:rPr>
          <w:rFonts w:ascii="Times New Roman" w:hAnsi="Times New Roman"/>
          <w:sz w:val="20"/>
        </w:rPr>
        <w:t>вибрированного</w:t>
      </w:r>
      <w:proofErr w:type="spellEnd"/>
      <w:r>
        <w:rPr>
          <w:rFonts w:ascii="Times New Roman" w:hAnsi="Times New Roman"/>
          <w:sz w:val="20"/>
        </w:rPr>
        <w:t xml:space="preserve"> бетона кубиков приводят к п</w:t>
      </w:r>
      <w:r>
        <w:rPr>
          <w:rFonts w:ascii="Times New Roman" w:hAnsi="Times New Roman"/>
          <w:sz w:val="20"/>
        </w:rPr>
        <w:t>рочности центрифугированного бетона стоек умножением на коэффициент 1,25.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определяют по ГОСТ 10060-76.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Толщину защитного слоя бетона проверяют при помощи приборов, регистрирующих положение арматуры без разрушения бетона.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Испытания на прочность и </w:t>
      </w:r>
      <w:proofErr w:type="spellStart"/>
      <w:r>
        <w:rPr>
          <w:rFonts w:ascii="Times New Roman" w:hAnsi="Times New Roman"/>
          <w:sz w:val="20"/>
        </w:rPr>
        <w:t>трещиностойкость</w:t>
      </w:r>
      <w:proofErr w:type="spellEnd"/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4.5.1. Отбор стоек для испытаний на прочность и </w:t>
      </w:r>
      <w:proofErr w:type="spellStart"/>
      <w:r>
        <w:rPr>
          <w:rFonts w:ascii="Times New Roman" w:hAnsi="Times New Roman"/>
          <w:sz w:val="20"/>
        </w:rPr>
        <w:t>трещиностойкость</w:t>
      </w:r>
      <w:proofErr w:type="spellEnd"/>
      <w:r>
        <w:rPr>
          <w:rFonts w:ascii="Times New Roman" w:hAnsi="Times New Roman"/>
          <w:sz w:val="20"/>
        </w:rPr>
        <w:t xml:space="preserve"> производят по ГОСТ 8829-77. Возраст бетона стоек при испытании должен быть не менее 3 и не более 28 дней.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4.5.2. Испытание производят на бетонной </w:t>
      </w:r>
      <w:r>
        <w:rPr>
          <w:rFonts w:ascii="Times New Roman" w:hAnsi="Times New Roman"/>
          <w:sz w:val="20"/>
        </w:rPr>
        <w:t xml:space="preserve">площадке по схеме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загружения</w:t>
      </w:r>
      <w:proofErr w:type="spellEnd"/>
      <w:r>
        <w:rPr>
          <w:rFonts w:ascii="Times New Roman" w:hAnsi="Times New Roman"/>
          <w:sz w:val="20"/>
        </w:rPr>
        <w:t xml:space="preserve"> стоек, указанной на черт. 3.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испытания стоек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20.25pt;height:204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     </w:t>
      </w: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неподвижные опоры; 2 - шарнирно-скользящие опоры; 3 - место закрепления тяги или троса; </w:t>
      </w: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 - усилие натяжения при испытании </w:t>
      </w:r>
    </w:p>
    <w:p w:rsidR="00000000" w:rsidRDefault="00505EA2">
      <w:pPr>
        <w:pStyle w:val="Preformat"/>
        <w:rPr>
          <w:rFonts w:ascii="Times New Roman" w:hAnsi="Times New Roman"/>
        </w:rPr>
      </w:pPr>
    </w:p>
    <w:p w:rsidR="00000000" w:rsidRDefault="00505EA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шарнирно-скользящих опорах вместо катков могут быть установлены две стальные прокладки с промазкой солидолом слоем 2 - 3 мм.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Размер  </w:t>
      </w:r>
      <w:r>
        <w:rPr>
          <w:rFonts w:ascii="Times New Roman" w:hAnsi="Times New Roman"/>
          <w:sz w:val="20"/>
        </w:rPr>
        <w:pict>
          <v:shape id="_x0000_i1039" type="#_x0000_t75" style="width:9.75pt;height:9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определяют по рабочим чертежам опор.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Размеры </w:t>
      </w:r>
      <w:r>
        <w:rPr>
          <w:rFonts w:ascii="Times New Roman" w:hAnsi="Times New Roman"/>
          <w:i/>
          <w:sz w:val="20"/>
        </w:rPr>
        <w:t>с</w:t>
      </w:r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i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 xml:space="preserve"> определяют по рабочим чертежам оснастки.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4.5.3. Величину контроль</w:t>
      </w:r>
      <w:r>
        <w:rPr>
          <w:rFonts w:ascii="Times New Roman" w:hAnsi="Times New Roman"/>
          <w:sz w:val="20"/>
        </w:rPr>
        <w:t>ной нагрузки принимают следующей: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при испытании стоек на прочность изгибающий момент  </w:t>
      </w:r>
      <w:r>
        <w:rPr>
          <w:rFonts w:ascii="Times New Roman" w:hAnsi="Times New Roman"/>
          <w:sz w:val="20"/>
        </w:rPr>
        <w:pict>
          <v:shape id="_x0000_i1040" type="#_x0000_t75" style="width:21pt;height:1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должен быть равен расчетному моменту </w:t>
      </w:r>
      <w:r>
        <w:rPr>
          <w:rFonts w:ascii="Times New Roman" w:hAnsi="Times New Roman"/>
          <w:sz w:val="20"/>
        </w:rPr>
        <w:pict>
          <v:shape id="_x0000_i1041" type="#_x0000_t75" style="width:21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, указанному в рабочих чертежах, умноженному на коэффициент С = 1,6;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при испытаниях стоек по образованию трещин изгибающий момент должен быть равным изгибающему моменту, принятому в расчете по образованию трещин </w:t>
      </w:r>
      <w:r>
        <w:rPr>
          <w:rFonts w:ascii="Times New Roman" w:hAnsi="Times New Roman"/>
          <w:position w:val="-3"/>
          <w:sz w:val="20"/>
        </w:rPr>
        <w:pict>
          <v:shape id="_x0000_i1042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>, умноженному на коэффициент 1,1.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4.5.4. Испытание стоек на прочность и </w:t>
      </w:r>
      <w:proofErr w:type="spellStart"/>
      <w:r>
        <w:rPr>
          <w:rFonts w:ascii="Times New Roman" w:hAnsi="Times New Roman"/>
          <w:sz w:val="20"/>
        </w:rPr>
        <w:t>трещиностойкость</w:t>
      </w:r>
      <w:proofErr w:type="spellEnd"/>
      <w:r>
        <w:rPr>
          <w:rFonts w:ascii="Times New Roman" w:hAnsi="Times New Roman"/>
          <w:sz w:val="20"/>
        </w:rPr>
        <w:t xml:space="preserve"> проводят при положительной температуре воздуха и испытываемой стойки. Стойки, </w:t>
      </w:r>
      <w:r>
        <w:rPr>
          <w:rFonts w:ascii="Times New Roman" w:hAnsi="Times New Roman"/>
          <w:sz w:val="20"/>
        </w:rPr>
        <w:t>хранившиеся при отрицательной температуре, выдерживают в теплом помещении до приобретения ими положительной температуры.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испытывать стойки в зимнее время на открытом воздухе при температуре до минус 10°С. При этом стойки до испытания должны быть предварительно выдержаны в теплом помещении, прогреты и в начале испытания иметь температуру плюс 20°С.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4.5.5. Испытываемую стойку загружают ступенями в долях нагрузки </w:t>
      </w:r>
      <w:r>
        <w:rPr>
          <w:rFonts w:ascii="Times New Roman" w:hAnsi="Times New Roman"/>
          <w:position w:val="-6"/>
          <w:sz w:val="20"/>
        </w:rPr>
        <w:pict>
          <v:shape id="_x0000_i1043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. При нагрузке до 0,8 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четыре ступени нагрузки принимают равными 0,2 </w:t>
      </w:r>
      <w:r>
        <w:rPr>
          <w:rFonts w:ascii="Times New Roman" w:hAnsi="Times New Roman"/>
          <w:position w:val="-7"/>
          <w:sz w:val="20"/>
        </w:rPr>
        <w:pict>
          <v:shape id="_x0000_i1045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а пятую - равной 0,1 </w:t>
      </w:r>
      <w:r>
        <w:rPr>
          <w:rFonts w:ascii="Times New Roman" w:hAnsi="Times New Roman"/>
          <w:position w:val="-6"/>
          <w:sz w:val="20"/>
        </w:rPr>
        <w:pict>
          <v:shape id="_x0000_i1046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. Затем до появления первой трещины величину последующих ступеней нагрузки принимают 0,05  </w:t>
      </w:r>
      <w:r>
        <w:rPr>
          <w:rFonts w:ascii="Times New Roman" w:hAnsi="Times New Roman"/>
          <w:position w:val="-4"/>
          <w:sz w:val="20"/>
        </w:rPr>
        <w:pict>
          <v:shape id="_x0000_i1047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. После этого продолжают </w:t>
      </w:r>
      <w:proofErr w:type="spellStart"/>
      <w:r>
        <w:rPr>
          <w:rFonts w:ascii="Times New Roman" w:hAnsi="Times New Roman"/>
          <w:sz w:val="20"/>
        </w:rPr>
        <w:t>загружение</w:t>
      </w:r>
      <w:proofErr w:type="spellEnd"/>
      <w:r>
        <w:rPr>
          <w:rFonts w:ascii="Times New Roman" w:hAnsi="Times New Roman"/>
          <w:sz w:val="20"/>
        </w:rPr>
        <w:t xml:space="preserve"> до разрушения ступенями, равными 0,1 </w:t>
      </w:r>
      <w:r>
        <w:rPr>
          <w:rFonts w:ascii="Times New Roman" w:hAnsi="Times New Roman"/>
          <w:position w:val="-4"/>
          <w:sz w:val="20"/>
        </w:rPr>
        <w:pict>
          <v:shape id="_x0000_i1048" type="#_x0000_t75" style="width:20.2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. После приложения каждой ступени нагрузки стойку выдерживают под этой нагрузкой 10 мин. Под контрольной нагрузкой при проверке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стойку выдерживают 30 мин. При испытании стоек до разрушения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их после раскрытия трещин производят с выдержкой 5 мин при каждом изменении нагрузки. После выдержки произ</w:t>
      </w:r>
      <w:r>
        <w:rPr>
          <w:rFonts w:ascii="Times New Roman" w:hAnsi="Times New Roman"/>
          <w:sz w:val="20"/>
        </w:rPr>
        <w:t>водят тщательный осмотр поверхности стойки, фиксируют появившиеся трещины.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4.5.6. Партию стоек признают годной по прочности, если разрушение стойки произошло при нагрузке, равной или превышающей контрольную нагрузку, определенную согласно п. 4.5.3.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разрушение стойки произошло при нагрузке менее контрольной, но более 0,85 контрольной, то производят дополнительное испытание еще двух стоек. Если при повторном испытании величина разрушающей нагрузки в этих двух стойках окажется не менее 0,85 контрольной, т</w:t>
      </w:r>
      <w:r>
        <w:rPr>
          <w:rFonts w:ascii="Times New Roman" w:hAnsi="Times New Roman"/>
          <w:sz w:val="20"/>
        </w:rPr>
        <w:t>о партию стоек считают выдержавшей испытание. Если эта нагрузка хотя бы в одной из указанных двух стоек окажется менее 0,85 контрольной, то партию стоек не принимают. Разрушением следует считать: раздробление бетона сжатой зоны, разрыв арматуры, разрушение бетона по косым сечениям.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4.5.7. </w:t>
      </w:r>
      <w:proofErr w:type="spellStart"/>
      <w:r>
        <w:rPr>
          <w:rFonts w:ascii="Times New Roman" w:hAnsi="Times New Roman"/>
          <w:sz w:val="20"/>
        </w:rPr>
        <w:t>Трещиностойкость</w:t>
      </w:r>
      <w:proofErr w:type="spellEnd"/>
      <w:r>
        <w:rPr>
          <w:rFonts w:ascii="Times New Roman" w:hAnsi="Times New Roman"/>
          <w:sz w:val="20"/>
        </w:rPr>
        <w:t xml:space="preserve"> стоек оценивают по образованию поперечных трещин, обнаруженных визуально или при помощи лупы с четырехкратным увеличением. Стойки признают годными по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, если нагрузка при появлении трещины б</w:t>
      </w:r>
      <w:r>
        <w:rPr>
          <w:rFonts w:ascii="Times New Roman" w:hAnsi="Times New Roman"/>
          <w:sz w:val="20"/>
        </w:rPr>
        <w:t>ыла равна или больше контрольной, вычисленной по п. 4.5.3.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4.5.8. Если хотя бы в одной испытанной стойке появятся трещины при нагрузке, менее указанной в п. 4.5.3, то проводят испытания еще двух стоек. Если одна из этих стоек не будет удовлетворять требованиям п. 4.5.7 по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, то всю партию стоек не принимают.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4.5.9. Стойки, не удовлетворяющие требованиям настоящего стандарта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, являются нестандартными.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Стойки типа С2,55/10,1, не удовлетворяющие требова</w:t>
      </w:r>
      <w:r>
        <w:rPr>
          <w:rFonts w:ascii="Times New Roman" w:hAnsi="Times New Roman"/>
          <w:sz w:val="20"/>
        </w:rPr>
        <w:t xml:space="preserve">ниям настоящего стандарта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>, могут быть использованы для сооружения с меньшими нагрузками. Эти стойки должны быть испытаны на соответственно сниженные контрольные нагрузки.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ТРАНСПОРТИРОВАНИЕ И ХРАНЕНИЕ</w:t>
      </w:r>
    </w:p>
    <w:p w:rsidR="00000000" w:rsidRDefault="00505EA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поверхности стойки должны быть нанесены несмываемой краской черта на расстоянии 2,5 м от нижнего торца для контроля заглубления стоек в грунт и на расстоянии 3,5 м от нижнего торца следующая маркировка: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товарный знак предприятия-изготовителя или его кр</w:t>
      </w:r>
      <w:r>
        <w:rPr>
          <w:rFonts w:ascii="Times New Roman" w:hAnsi="Times New Roman"/>
          <w:sz w:val="20"/>
        </w:rPr>
        <w:t>аткое наименование;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тип стойки;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дата изготовления и заводской порядковый номер изделия.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Предприятие-изготовитель должно сопровождать каждую отгружаемую партию стоек паспортом, в котором должны указываться: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и адрес предприятия-изготовителя;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дата составления и номер паспорта;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наименование типа стоек;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количество стоек каждого типа;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дата изготовления стоек;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диаметр и количество проволок рабочей арматуры;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прочность бетона на сжатие при передаче на бетон предварительно</w:t>
      </w:r>
      <w:r>
        <w:rPr>
          <w:rFonts w:ascii="Times New Roman" w:hAnsi="Times New Roman"/>
          <w:sz w:val="20"/>
        </w:rPr>
        <w:t>го напряжения;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 xml:space="preserve">) результаты испытания контрольных стоек партии на прочность и </w:t>
      </w:r>
      <w:proofErr w:type="spellStart"/>
      <w:r>
        <w:rPr>
          <w:rFonts w:ascii="Times New Roman" w:hAnsi="Times New Roman"/>
          <w:sz w:val="20"/>
        </w:rPr>
        <w:t>трещиностойкость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обозначение настоящего стандарта;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изображение государственного Знака качества по ГОСТ 1.9-67 для стоек, которым в установленном порядке он присвоен.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Стойки на заводах следует хранить на специально оборудованных складах-площадках с твердым основанием, в горизонтальном положении, в штабелях рассортированными по типам.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Штабель по высоте должен иметь не более пяти рядов стоек, уложенных горизонтально</w:t>
      </w:r>
      <w:r>
        <w:rPr>
          <w:rFonts w:ascii="Times New Roman" w:hAnsi="Times New Roman"/>
          <w:sz w:val="20"/>
        </w:rPr>
        <w:t xml:space="preserve"> на деревянные прокладки. Прокладки располагают на расстоянии 1/5 длины стойки от ее концов. На концах должны быть ограничительные бруски, препятствующие скатыванию стоек. Транспортировка, погрузка и хранение стоек должны выполняться таким образом, чтобы была исключена возможность их повреждения.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Погрузка и разгрузка стоек должны производиться кранами при помощи траверс или стропов в соответствии со схемами подъема, приведенными в рабочих чертежах.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Погрузка стоек на железнодорожный подвижной соста</w:t>
      </w:r>
      <w:r>
        <w:rPr>
          <w:rFonts w:ascii="Times New Roman" w:hAnsi="Times New Roman"/>
          <w:sz w:val="20"/>
        </w:rPr>
        <w:t>в должна осуществляться в порядке, установленном Министерством путей сообщения.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Перевозка стоек на тракторах и автомобилях должна производиться в соответствии с правилами, утвержденными в установленном порядке.</w:t>
      </w:r>
    </w:p>
    <w:p w:rsidR="00000000" w:rsidRDefault="00505EA2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EA2"/>
    <w:rsid w:val="005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2210</Words>
  <Characters>12599</Characters>
  <Application>Microsoft Office Word</Application>
  <DocSecurity>0</DocSecurity>
  <Lines>104</Lines>
  <Paragraphs>29</Paragraphs>
  <ScaleCrop>false</ScaleCrop>
  <Company>Elcom Ltd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22131-76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