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98A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E7498A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E7498A">
      <w:pPr>
        <w:spacing w:before="120"/>
        <w:ind w:right="2070"/>
        <w:jc w:val="center"/>
        <w:rPr>
          <w:b/>
          <w:sz w:val="28"/>
        </w:rPr>
      </w:pPr>
      <w:r>
        <w:rPr>
          <w:b/>
          <w:sz w:val="28"/>
        </w:rPr>
        <w:t>КОНСТРУКЦИИ И ИЗДЕЛИЯ БЕТОННЫЕ И ЖЕЛЕЗОБЕТОННЫЕ СБОРНЫЕ</w:t>
      </w:r>
    </w:p>
    <w:p w:rsidR="00000000" w:rsidRDefault="00E7498A">
      <w:pPr>
        <w:spacing w:before="120" w:after="120"/>
        <w:ind w:right="2070"/>
        <w:jc w:val="center"/>
        <w:rPr>
          <w:b/>
        </w:rPr>
      </w:pPr>
      <w:r>
        <w:rPr>
          <w:b/>
        </w:rPr>
        <w:t>УСЛОВНЫЕ ОБОЗНАЧЕНИЯ (МАРКИ)</w:t>
      </w:r>
    </w:p>
    <w:p w:rsidR="00000000" w:rsidRDefault="00E7498A">
      <w:pPr>
        <w:ind w:right="2069"/>
        <w:jc w:val="center"/>
        <w:rPr>
          <w:b/>
        </w:rPr>
      </w:pPr>
      <w:r>
        <w:rPr>
          <w:b/>
        </w:rPr>
        <w:t>ГОСТ 23009-78*</w:t>
      </w:r>
    </w:p>
    <w:p w:rsidR="00000000" w:rsidRDefault="00E7498A">
      <w:pPr>
        <w:ind w:right="2069"/>
        <w:jc w:val="center"/>
      </w:pPr>
    </w:p>
    <w:p w:rsidR="00000000" w:rsidRDefault="00E7498A">
      <w:pPr>
        <w:ind w:right="2069"/>
        <w:jc w:val="center"/>
      </w:pPr>
      <w:r>
        <w:t>ГОСУДАРСТВЕННЫЙ СТРОИТЕЛЬНЫЙ КОМИТЕТ СССР</w:t>
      </w:r>
    </w:p>
    <w:p w:rsidR="00000000" w:rsidRDefault="00E7498A">
      <w:pPr>
        <w:ind w:right="2069"/>
        <w:jc w:val="center"/>
      </w:pPr>
      <w:r>
        <w:t>Москва</w:t>
      </w:r>
    </w:p>
    <w:p w:rsidR="00000000" w:rsidRDefault="00E7498A">
      <w:pPr>
        <w:ind w:right="2069"/>
        <w:jc w:val="center"/>
      </w:pPr>
    </w:p>
    <w:p w:rsidR="00000000" w:rsidRDefault="00E7498A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E7498A">
      <w:pPr>
        <w:ind w:right="2069" w:firstLine="284"/>
        <w:jc w:val="both"/>
        <w:rPr>
          <w:b/>
        </w:rPr>
      </w:pPr>
      <w:r>
        <w:rPr>
          <w:b/>
        </w:rPr>
        <w:t>КОНСТРУКЦИИ И ИЗДЕЛИЯ БЕТОННЫЕ</w:t>
      </w:r>
    </w:p>
    <w:p w:rsidR="00000000" w:rsidRDefault="00E7498A">
      <w:pPr>
        <w:tabs>
          <w:tab w:val="left" w:pos="5245"/>
        </w:tabs>
        <w:ind w:right="2069" w:firstLine="567"/>
        <w:jc w:val="both"/>
        <w:rPr>
          <w:b/>
        </w:rPr>
      </w:pPr>
      <w:r>
        <w:rPr>
          <w:b/>
        </w:rPr>
        <w:t xml:space="preserve">И </w:t>
      </w:r>
      <w:r>
        <w:rPr>
          <w:b/>
        </w:rPr>
        <w:t>ЖЕЛЕЗОБЕТОННЫЕ СБОРНЫЕ</w:t>
      </w:r>
      <w:r>
        <w:rPr>
          <w:b/>
        </w:rPr>
        <w:tab/>
        <w:t>ГОСТ</w:t>
      </w:r>
    </w:p>
    <w:p w:rsidR="00000000" w:rsidRDefault="00E7498A">
      <w:pPr>
        <w:tabs>
          <w:tab w:val="left" w:pos="5103"/>
        </w:tabs>
        <w:spacing w:before="120" w:after="120"/>
        <w:ind w:right="2070" w:firstLine="851"/>
        <w:jc w:val="both"/>
        <w:rPr>
          <w:b/>
        </w:rPr>
      </w:pPr>
      <w:r>
        <w:rPr>
          <w:b/>
        </w:rPr>
        <w:t>Условные обозначения (марки)</w:t>
      </w:r>
      <w:r>
        <w:rPr>
          <w:b/>
        </w:rPr>
        <w:tab/>
        <w:t>23009-78</w:t>
      </w:r>
    </w:p>
    <w:p w:rsidR="00000000" w:rsidRDefault="00E7498A">
      <w:pPr>
        <w:ind w:right="2069" w:firstLine="426"/>
        <w:jc w:val="both"/>
        <w:rPr>
          <w:lang w:val="en-US"/>
        </w:rPr>
      </w:pPr>
      <w:r>
        <w:rPr>
          <w:lang w:val="en-US"/>
        </w:rPr>
        <w:t>Prefabricated concrete and reinforced concrete</w:t>
      </w:r>
    </w:p>
    <w:p w:rsidR="00000000" w:rsidRDefault="00E7498A">
      <w:pPr>
        <w:pBdr>
          <w:bottom w:val="single" w:sz="6" w:space="1" w:color="auto"/>
        </w:pBdr>
        <w:ind w:right="2069" w:firstLine="426"/>
        <w:jc w:val="both"/>
        <w:rPr>
          <w:lang w:val="en-US"/>
        </w:rPr>
      </w:pPr>
      <w:r>
        <w:t xml:space="preserve"> </w:t>
      </w:r>
      <w:r>
        <w:rPr>
          <w:lang w:val="en-US"/>
        </w:rPr>
        <w:t>constructions and products. Symbols (marks)</w:t>
      </w:r>
    </w:p>
    <w:p w:rsidR="00000000" w:rsidRDefault="00E7498A">
      <w:pPr>
        <w:spacing w:after="120"/>
        <w:ind w:right="2070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01.01.79</w:t>
      </w:r>
    </w:p>
    <w:p w:rsidR="00000000" w:rsidRDefault="00E7498A">
      <w:pPr>
        <w:ind w:right="2069" w:firstLine="284"/>
        <w:jc w:val="both"/>
      </w:pPr>
      <w:r>
        <w:t>Настоящий стандарт распространяется на сборные бетонные и железобетонные конструкции и изделия и устанавливает правила составления и применения условных обозначений (далее - марок) этих конструкций и изделий в разрабатываемых стандартах, технических условиях и проектной документации.</w:t>
      </w:r>
    </w:p>
    <w:p w:rsidR="00000000" w:rsidRDefault="00E7498A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7498A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ОСНОВНЫЕ П</w:t>
      </w:r>
      <w:r>
        <w:rPr>
          <w:b/>
        </w:rPr>
        <w:t>ОЛОЖЕНИЯ</w:t>
      </w:r>
    </w:p>
    <w:p w:rsidR="00000000" w:rsidRDefault="00E7498A">
      <w:pPr>
        <w:ind w:right="2069" w:firstLine="284"/>
        <w:jc w:val="both"/>
      </w:pPr>
      <w:r>
        <w:t>1.1. Марка должна содержать обозначения основных характеристик конструкций и изделий.</w:t>
      </w:r>
    </w:p>
    <w:p w:rsidR="00000000" w:rsidRDefault="00E7498A">
      <w:pPr>
        <w:ind w:right="2069" w:firstLine="284"/>
        <w:jc w:val="both"/>
      </w:pPr>
      <w:r>
        <w:t>1.2. Марка состоит из буквенно-цифровых групп, которые разде</w:t>
      </w:r>
      <w:r>
        <w:softHyphen/>
        <w:t>ляются дефисом.</w:t>
      </w:r>
    </w:p>
    <w:p w:rsidR="00000000" w:rsidRDefault="00E7498A">
      <w:pPr>
        <w:ind w:right="2069" w:firstLine="284"/>
        <w:jc w:val="both"/>
      </w:pPr>
      <w:r>
        <w:t>Число групп должно быть не более трех.</w:t>
      </w:r>
    </w:p>
    <w:p w:rsidR="00000000" w:rsidRDefault="00E7498A">
      <w:pPr>
        <w:ind w:right="2069" w:firstLine="284"/>
        <w:jc w:val="both"/>
      </w:pPr>
      <w:r>
        <w:t>1.2.1. Первая группа должна содержать:</w:t>
      </w:r>
    </w:p>
    <w:p w:rsidR="00000000" w:rsidRDefault="00E7498A">
      <w:pPr>
        <w:ind w:right="2069" w:firstLine="284"/>
        <w:jc w:val="both"/>
      </w:pPr>
      <w:r>
        <w:t>обозначение типа конструкции и изделия;</w:t>
      </w:r>
    </w:p>
    <w:p w:rsidR="00000000" w:rsidRDefault="00E7498A">
      <w:pPr>
        <w:ind w:right="2069" w:firstLine="284"/>
        <w:jc w:val="both"/>
      </w:pPr>
      <w:r>
        <w:t>определяющие габаритные размеры (пролет, длину, ширину, высоту, толщину, диаметр и т.п.) или обозначение типоразмера конструкции и изделия.</w:t>
      </w:r>
    </w:p>
    <w:p w:rsidR="00000000" w:rsidRDefault="00E7498A">
      <w:pPr>
        <w:ind w:right="2069" w:firstLine="284"/>
        <w:jc w:val="both"/>
      </w:pPr>
      <w:r>
        <w:t>1.2.2. Во второй группе следует приводить:</w:t>
      </w:r>
    </w:p>
    <w:p w:rsidR="00000000" w:rsidRDefault="00E7498A">
      <w:pPr>
        <w:ind w:right="2069" w:firstLine="284"/>
        <w:jc w:val="both"/>
      </w:pPr>
      <w:r>
        <w:t>несущую способность конструкции и издел</w:t>
      </w:r>
      <w:r>
        <w:t>ия;</w:t>
      </w:r>
    </w:p>
    <w:p w:rsidR="00000000" w:rsidRDefault="00E7498A">
      <w:pPr>
        <w:ind w:right="2069" w:firstLine="284"/>
        <w:jc w:val="both"/>
      </w:pPr>
      <w:r>
        <w:t>класса напрягаемой арматуры;</w:t>
      </w:r>
    </w:p>
    <w:p w:rsidR="00000000" w:rsidRDefault="00E7498A">
      <w:pPr>
        <w:ind w:right="2069" w:firstLine="284"/>
        <w:jc w:val="both"/>
      </w:pPr>
      <w:r>
        <w:t>вид бетона.</w:t>
      </w:r>
    </w:p>
    <w:p w:rsidR="00000000" w:rsidRDefault="00E7498A">
      <w:pPr>
        <w:ind w:right="2069" w:firstLine="284"/>
        <w:jc w:val="both"/>
      </w:pPr>
      <w:r>
        <w:t>В марке конструкций и изделий, изготовляемых из тяжелого бетона, вид бетона не указывают.</w:t>
      </w:r>
    </w:p>
    <w:p w:rsidR="00000000" w:rsidRDefault="00E7498A">
      <w:pPr>
        <w:ind w:right="2069" w:firstLine="284"/>
        <w:jc w:val="both"/>
      </w:pPr>
      <w:r>
        <w:t>1.2.3. В третью группу включаются дополнительные характеристики, отражающие особые условия применения конструкций и изделий;</w:t>
      </w:r>
    </w:p>
    <w:p w:rsidR="00000000" w:rsidRDefault="00E7498A">
      <w:pPr>
        <w:ind w:right="2069" w:firstLine="284"/>
        <w:jc w:val="both"/>
      </w:pPr>
      <w:r>
        <w:t>стойкость к воздействию агрессивной среды;</w:t>
      </w:r>
    </w:p>
    <w:p w:rsidR="00000000" w:rsidRDefault="00E7498A">
      <w:pPr>
        <w:ind w:right="2069" w:firstLine="284"/>
        <w:jc w:val="both"/>
      </w:pPr>
      <w:r>
        <w:t>сейсмостойкость (для конструкций и изделий, предназначенных для зданий и сооружений с расчетной сейсмичностью 7 баллов и выше);</w:t>
      </w:r>
    </w:p>
    <w:p w:rsidR="00000000" w:rsidRDefault="00E7498A">
      <w:pPr>
        <w:ind w:right="2069" w:firstLine="284"/>
        <w:jc w:val="both"/>
      </w:pPr>
      <w:r>
        <w:t>стойкость к воздействию повышенных и высоких температур;</w:t>
      </w:r>
    </w:p>
    <w:p w:rsidR="00000000" w:rsidRDefault="00E7498A">
      <w:pPr>
        <w:ind w:right="2069" w:firstLine="284"/>
        <w:jc w:val="both"/>
      </w:pPr>
      <w:r>
        <w:t>конструктивные особеннос</w:t>
      </w:r>
      <w:r>
        <w:t>ти (наличие дополнительных закладных изделий, отверстий, проемов, вырезов и т.п.).</w:t>
      </w:r>
    </w:p>
    <w:p w:rsidR="00000000" w:rsidRDefault="00E7498A">
      <w:pPr>
        <w:ind w:right="2069" w:firstLine="284"/>
        <w:jc w:val="both"/>
      </w:pPr>
      <w:r>
        <w:t>В третьей группе допускается приводить другие характеристики, отражающие условия применения конструкций и изделий.</w:t>
      </w:r>
    </w:p>
    <w:p w:rsidR="00000000" w:rsidRDefault="00E7498A">
      <w:pPr>
        <w:ind w:right="2069" w:firstLine="284"/>
        <w:jc w:val="both"/>
        <w:rPr>
          <w:b/>
        </w:rPr>
      </w:pPr>
      <w:r>
        <w:t xml:space="preserve">1.2.2, 1.2.3. </w:t>
      </w:r>
      <w:r>
        <w:rPr>
          <w:b/>
        </w:rPr>
        <w:t>(Измененная редакция, Изм. № 1).</w:t>
      </w:r>
    </w:p>
    <w:p w:rsidR="00000000" w:rsidRDefault="00E7498A">
      <w:pPr>
        <w:ind w:right="2069" w:firstLine="284"/>
        <w:jc w:val="both"/>
      </w:pPr>
      <w:r>
        <w:t>1.3. Обозначения первой группы должны включаться в марку всех бетонных и железобетонных конструкций и изделий.</w:t>
      </w:r>
    </w:p>
    <w:p w:rsidR="00000000" w:rsidRDefault="00E7498A">
      <w:pPr>
        <w:ind w:right="2069" w:firstLine="284"/>
        <w:jc w:val="both"/>
      </w:pPr>
      <w:r>
        <w:t>Необходимость включения в состав марки второй и третьей групп обозначений определяется организацией, разрабатывающей стандарты, технические условия или рабо</w:t>
      </w:r>
      <w:r>
        <w:t>чие чертежи конкретных конструкций и изделий.</w:t>
      </w:r>
    </w:p>
    <w:p w:rsidR="00000000" w:rsidRDefault="00E7498A">
      <w:pPr>
        <w:ind w:right="2069" w:firstLine="284"/>
        <w:jc w:val="both"/>
      </w:pPr>
      <w:r>
        <w:t>1.4. Для обозначений характеристик конструкций и изделий в марке следует применять буквы русского алфавита и арабские цифры.</w:t>
      </w:r>
    </w:p>
    <w:p w:rsidR="00000000" w:rsidRDefault="00E7498A">
      <w:pPr>
        <w:ind w:right="2069" w:firstLine="284"/>
        <w:jc w:val="both"/>
      </w:pPr>
      <w:r>
        <w:t>В обозначениях класса арматуры, а также класса труб по напорности допускается применение римских цифр.</w:t>
      </w:r>
    </w:p>
    <w:p w:rsidR="00000000" w:rsidRDefault="00E7498A">
      <w:pPr>
        <w:ind w:right="2069" w:firstLine="284"/>
        <w:jc w:val="both"/>
      </w:pPr>
      <w:r>
        <w:t>1.5. Марку следует записывать в одну строку.</w:t>
      </w:r>
    </w:p>
    <w:p w:rsidR="00000000" w:rsidRDefault="00E7498A">
      <w:pPr>
        <w:ind w:right="2069" w:firstLine="284"/>
        <w:jc w:val="both"/>
      </w:pPr>
      <w:r>
        <w:t>1.6.</w:t>
      </w:r>
      <w:r>
        <w:rPr>
          <w:b/>
        </w:rPr>
        <w:t xml:space="preserve"> (Исключен, Изм. № 1)</w:t>
      </w:r>
      <w:r>
        <w:t>.</w:t>
      </w:r>
    </w:p>
    <w:p w:rsidR="00000000" w:rsidRDefault="00E7498A">
      <w:pPr>
        <w:ind w:right="2069" w:firstLine="284"/>
        <w:jc w:val="both"/>
      </w:pPr>
      <w:r>
        <w:t>1.7. Структура марки конструкции и изделия в общем виде следующая:</w:t>
      </w:r>
    </w:p>
    <w:p w:rsidR="00000000" w:rsidRDefault="00E7498A">
      <w:pPr>
        <w:ind w:right="2069" w:firstLine="284"/>
        <w:jc w:val="center"/>
      </w:pPr>
      <w:r>
        <w:pict>
          <v:shape id="_x0000_i1026" type="#_x0000_t75" style="width:272.25pt;height:158.25pt">
            <v:imagedata r:id="rId5" o:title=""/>
          </v:shape>
        </w:pict>
      </w:r>
    </w:p>
    <w:p w:rsidR="00000000" w:rsidRDefault="00E7498A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7498A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ОБОЗНАЧЕНИЯ, ВХОДЯЩИЕ В МАРКУ</w:t>
      </w:r>
    </w:p>
    <w:p w:rsidR="00000000" w:rsidRDefault="00E7498A">
      <w:pPr>
        <w:ind w:right="2069" w:firstLine="284"/>
        <w:jc w:val="both"/>
      </w:pPr>
      <w:r>
        <w:t>2.1. Обозначение типа конструкц</w:t>
      </w:r>
      <w:r>
        <w:t>ии и изделия в марках должно состоять из условного буквенного обозначения наименования конструкции и изделия.</w:t>
      </w:r>
    </w:p>
    <w:p w:rsidR="00000000" w:rsidRDefault="00E7498A">
      <w:pPr>
        <w:ind w:right="2069" w:firstLine="284"/>
        <w:jc w:val="both"/>
      </w:pPr>
      <w:r>
        <w:t>Для обозначения типа конструкции и изделия следует применять прописные буквы. Число букв, как правило, не должно превышать трех.</w:t>
      </w:r>
    </w:p>
    <w:p w:rsidR="00000000" w:rsidRDefault="00E7498A">
      <w:pPr>
        <w:ind w:right="2069" w:firstLine="284"/>
        <w:jc w:val="both"/>
      </w:pPr>
      <w:r>
        <w:t>Условные буквенные обозначения наименований основных конструкций и изделий приведены в рекомендуемом приложении 1.</w:t>
      </w:r>
    </w:p>
    <w:p w:rsidR="00000000" w:rsidRDefault="00E7498A">
      <w:pPr>
        <w:ind w:right="2069" w:firstLine="284"/>
        <w:jc w:val="both"/>
      </w:pPr>
      <w:r>
        <w:t>Для конструкций, имеющих несколько типоразмеров, условное буквенное обозначение наименования конструкции допускается дополнять цифрой, стоящей перед обозначен</w:t>
      </w:r>
      <w:r>
        <w:t>ием типа конструкции.</w:t>
      </w:r>
    </w:p>
    <w:p w:rsidR="00000000" w:rsidRDefault="00E7498A">
      <w:pPr>
        <w:ind w:right="2069" w:firstLine="284"/>
        <w:jc w:val="both"/>
      </w:pPr>
      <w:r>
        <w:t>2.2. Указываемые в марках габаритные размеры должны приво</w:t>
      </w:r>
      <w:r>
        <w:softHyphen/>
        <w:t>дить</w:t>
      </w:r>
      <w:r>
        <w:softHyphen/>
        <w:t>ся определяющие для данной конструкции или изделия.</w:t>
      </w:r>
    </w:p>
    <w:p w:rsidR="00000000" w:rsidRDefault="00E7498A">
      <w:pPr>
        <w:ind w:right="2069" w:firstLine="284"/>
        <w:jc w:val="both"/>
      </w:pPr>
      <w:r>
        <w:t>Габаритные размеры приводятся координационные или конструктивные.</w:t>
      </w:r>
    </w:p>
    <w:p w:rsidR="00000000" w:rsidRDefault="00E7498A">
      <w:pPr>
        <w:ind w:right="2069" w:firstLine="284"/>
        <w:jc w:val="both"/>
      </w:pPr>
      <w:r>
        <w:t>Размеры следует указывать в метрах или дециметрах (с округлением до целого числа). Для мелкоразмерных изделий размеры допускается указывать в сантиметрах.</w:t>
      </w:r>
    </w:p>
    <w:p w:rsidR="00000000" w:rsidRDefault="00E7498A">
      <w:pPr>
        <w:ind w:right="2069" w:firstLine="284"/>
        <w:jc w:val="both"/>
      </w:pPr>
      <w:r>
        <w:t>В тех случаях, когда в марке указываются два или три определяющих размера (например, длина, ширина и высота), цифровые обозначения этих размеров разделяют</w:t>
      </w:r>
      <w:r>
        <w:t>ся точкой.</w:t>
      </w:r>
    </w:p>
    <w:p w:rsidR="00000000" w:rsidRDefault="00E7498A">
      <w:pPr>
        <w:ind w:right="2069" w:firstLine="284"/>
        <w:jc w:val="both"/>
      </w:pPr>
      <w:r>
        <w:t>Вместо габаритных размеров в марках допускается приводить обозначение типоразмера конструкции и изделия.</w:t>
      </w:r>
    </w:p>
    <w:p w:rsidR="00000000" w:rsidRDefault="00E7498A">
      <w:pPr>
        <w:ind w:right="2069" w:firstLine="284"/>
        <w:jc w:val="both"/>
      </w:pPr>
      <w:r>
        <w:t>2.3. Несущую способность конструкции и изделия следует указывать цифрами, соответствующими расчетной нагрузке.</w:t>
      </w:r>
    </w:p>
    <w:p w:rsidR="00000000" w:rsidRDefault="00E7498A">
      <w:pPr>
        <w:ind w:right="2069" w:firstLine="284"/>
        <w:jc w:val="both"/>
      </w:pPr>
      <w:r>
        <w:t>Допускается приведение в марке цифрового обозначения, характеризующего несущую способность конструкции и изделия.</w:t>
      </w:r>
    </w:p>
    <w:p w:rsidR="00000000" w:rsidRDefault="00E7498A">
      <w:pPr>
        <w:ind w:right="2069" w:firstLine="284"/>
        <w:jc w:val="both"/>
      </w:pPr>
      <w:r>
        <w:t>2.4. Класс напрягаемой арматуры следует приводить в соответствии со стандартами и техническими условиями на арматурную сталь и с нормативными документами по проектированию</w:t>
      </w:r>
      <w:r>
        <w:t xml:space="preserve"> железобетонных конструкций.</w:t>
      </w:r>
    </w:p>
    <w:p w:rsidR="00000000" w:rsidRDefault="00E7498A">
      <w:pPr>
        <w:ind w:right="2069" w:firstLine="284"/>
        <w:jc w:val="both"/>
      </w:pPr>
      <w:r>
        <w:t>2.5. Основные виды бетона обозначаются буквами:</w:t>
      </w:r>
    </w:p>
    <w:p w:rsidR="00000000" w:rsidRDefault="00E7498A">
      <w:pPr>
        <w:ind w:right="2069" w:firstLine="284"/>
        <w:jc w:val="both"/>
      </w:pPr>
      <w:r>
        <w:t>Л - легкий бетон;</w:t>
      </w:r>
    </w:p>
    <w:p w:rsidR="00000000" w:rsidRDefault="00E7498A">
      <w:pPr>
        <w:ind w:right="2069" w:firstLine="284"/>
        <w:jc w:val="both"/>
      </w:pPr>
      <w:r>
        <w:t>Я - ячеистый бетон;</w:t>
      </w:r>
    </w:p>
    <w:p w:rsidR="00000000" w:rsidRDefault="00E7498A">
      <w:pPr>
        <w:ind w:right="2069" w:firstLine="284"/>
        <w:jc w:val="both"/>
      </w:pPr>
      <w:r>
        <w:t>С - плотный силикатный бетон;</w:t>
      </w:r>
    </w:p>
    <w:p w:rsidR="00000000" w:rsidRDefault="00E7498A">
      <w:pPr>
        <w:ind w:right="2069" w:firstLine="284"/>
        <w:jc w:val="both"/>
      </w:pPr>
      <w:r>
        <w:t>М - мелкозернистый бетон;</w:t>
      </w:r>
    </w:p>
    <w:p w:rsidR="00000000" w:rsidRDefault="00E7498A">
      <w:pPr>
        <w:ind w:right="2069" w:firstLine="284"/>
        <w:jc w:val="both"/>
      </w:pPr>
      <w:r>
        <w:t>Ж - жаростойкий бетон.</w:t>
      </w:r>
    </w:p>
    <w:p w:rsidR="00000000" w:rsidRDefault="00E7498A">
      <w:pPr>
        <w:ind w:right="2069" w:firstLine="284"/>
        <w:jc w:val="both"/>
      </w:pPr>
      <w:r>
        <w:t>2.6. Стойкость к воздействию агрессивной среды необходимо указывать для конструкций и изделий, предназначенных для работы в условиях воздействия агрессивной среды.</w:t>
      </w:r>
    </w:p>
    <w:p w:rsidR="00000000" w:rsidRDefault="00E7498A">
      <w:pPr>
        <w:ind w:right="2069" w:firstLine="284"/>
        <w:jc w:val="both"/>
      </w:pPr>
      <w:r>
        <w:t>Стойкость к воздействию агрессивной среды, характеризуемая показателями проницаемости бетона, обозначается:</w:t>
      </w:r>
    </w:p>
    <w:p w:rsidR="00000000" w:rsidRDefault="00E7498A">
      <w:pPr>
        <w:ind w:right="2069" w:firstLine="284"/>
        <w:jc w:val="both"/>
      </w:pPr>
      <w:r>
        <w:t>Н - бетон нормальной проницаемости;</w:t>
      </w:r>
    </w:p>
    <w:p w:rsidR="00000000" w:rsidRDefault="00E7498A">
      <w:pPr>
        <w:ind w:right="2069" w:firstLine="284"/>
        <w:jc w:val="both"/>
      </w:pPr>
      <w:r>
        <w:t xml:space="preserve">П - бетон </w:t>
      </w:r>
      <w:r>
        <w:t>пониженной проницаемости;</w:t>
      </w:r>
    </w:p>
    <w:p w:rsidR="00000000" w:rsidRDefault="00E7498A">
      <w:pPr>
        <w:ind w:right="2069" w:firstLine="284"/>
        <w:jc w:val="both"/>
      </w:pPr>
      <w:r>
        <w:t>О - бетон особо низкой проницаемости.</w:t>
      </w:r>
    </w:p>
    <w:p w:rsidR="00000000" w:rsidRDefault="00E7498A">
      <w:pPr>
        <w:ind w:right="2069" w:firstLine="284"/>
        <w:jc w:val="both"/>
      </w:pPr>
      <w:r>
        <w:t>Показатели бетона должны приниматься согласно СНиП 2.03.11-85.</w:t>
      </w:r>
    </w:p>
    <w:p w:rsidR="00000000" w:rsidRDefault="00E7498A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7498A">
      <w:pPr>
        <w:ind w:right="2069" w:firstLine="284"/>
        <w:jc w:val="both"/>
      </w:pPr>
      <w:r>
        <w:t>2.7. Сейсмостойкость конструкций и изделий, предназначенных для зданий и сооружений с расчетной сейсмичностью 7 баллов и выше, обозначается буквой С.</w:t>
      </w:r>
    </w:p>
    <w:p w:rsidR="00000000" w:rsidRDefault="00E7498A">
      <w:pPr>
        <w:ind w:right="2069" w:firstLine="284"/>
        <w:jc w:val="both"/>
      </w:pPr>
      <w:r>
        <w:t>2.8. Стойкость к воздействию повышенных и высоких температур, которая указывается для конструкций и изделий, предназначенных для работы в условиях воздействия этих температур, характеризуется классом жа</w:t>
      </w:r>
      <w:r>
        <w:t>ростойкого бетона, устанавливаемым в зависимости от предельно допустимой температуры применения бетона согласно ГОСТ 20910-82.</w:t>
      </w:r>
    </w:p>
    <w:p w:rsidR="00000000" w:rsidRDefault="00E7498A">
      <w:pPr>
        <w:ind w:right="2069" w:firstLine="284"/>
        <w:jc w:val="both"/>
      </w:pPr>
      <w:r>
        <w:t>2.9. Особенности конструкции и изделия (наличие дополнительных закладных изделий, отверстий, проемов, вырезов и т.п.) отражаются в марке арабскими цифрами или строчными буквами.</w:t>
      </w:r>
    </w:p>
    <w:p w:rsidR="00000000" w:rsidRDefault="00E7498A">
      <w:pPr>
        <w:ind w:right="2069" w:firstLine="284"/>
        <w:jc w:val="both"/>
        <w:rPr>
          <w:b/>
        </w:rPr>
      </w:pPr>
      <w:r>
        <w:t xml:space="preserve">2.10. </w:t>
      </w:r>
      <w:r>
        <w:rPr>
          <w:b/>
        </w:rPr>
        <w:t>(Исключен, Изм. № 1).</w:t>
      </w:r>
    </w:p>
    <w:p w:rsidR="00000000" w:rsidRDefault="00E7498A">
      <w:pPr>
        <w:ind w:right="2069" w:firstLine="284"/>
        <w:jc w:val="both"/>
      </w:pPr>
    </w:p>
    <w:p w:rsidR="00000000" w:rsidRDefault="00E7498A">
      <w:pPr>
        <w:ind w:right="2069"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E7498A">
      <w:pPr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E7498A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УСЛОВНЫЕ БУКВЕННЫЕ ОБОЗНАЧЕНИЯ НАИМЕНОВАНИЙ ОСНОВНЫХ КОНСТРУКЦИЙ И ИЗДЕЛИЙ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конструкции и изделия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буквенное 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Сваи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Ф</w:t>
            </w:r>
            <w:r>
              <w:rPr>
                <w:sz w:val="16"/>
              </w:rPr>
              <w:t>ундаменты (столбчатые, плитные и т. п.)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Фундаменты ленточные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Фундаменты под оборудование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Фундаментные блоки и блоки стен подвалов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фундаментные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Колонны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Колонные эстакады под трубопроводы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Ригели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(кроме оговоренных жиже)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подкрановые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обвязочные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подстропильные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стропильные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пролетных строений эстакад под трубопроводы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Балки перекрытий коммуникационных тоннелей и каналов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Фермы подстропильные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Фермы стропильные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</w:t>
            </w:r>
            <w:r>
              <w:rPr>
                <w:sz w:val="16"/>
              </w:rPr>
              <w:t>иты перекрытий и покрытий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Плиты днищ коммуникационных тоннелей и каналов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Плиты перекрытий коммуникационных тоннелей и каналов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Лотки каналов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Плиты карнизные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Плиты парапетные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Плиты подоконные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Опорные подушки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Лестничные марши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Лестничные площадки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Ступени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Косоуры, балки лестничных площадок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Стеновые блоки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Стеновые блоки цокольные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СБЦ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Панели стеновые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Панели перегородок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Перемычки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Стенки подпорные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Шпалы железобетонные для железных дорог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Трубы жел</w:t>
            </w:r>
            <w:r>
              <w:rPr>
                <w:sz w:val="16"/>
              </w:rPr>
              <w:t>езобетонные безнапорные: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раструбные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фальцевые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Трубы железобетонные напорные: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виброгидропрессованные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Трубы бетонные</w:t>
            </w:r>
          </w:p>
        </w:tc>
        <w:tc>
          <w:tcPr>
            <w:tcW w:w="184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БТ</w:t>
            </w:r>
          </w:p>
        </w:tc>
      </w:tr>
    </w:tbl>
    <w:p w:rsidR="00000000" w:rsidRDefault="00E7498A">
      <w:pPr>
        <w:ind w:right="2069" w:firstLine="284"/>
        <w:jc w:val="both"/>
      </w:pPr>
    </w:p>
    <w:p w:rsidR="00000000" w:rsidRDefault="00E7498A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7498A">
      <w:pPr>
        <w:ind w:right="2069" w:firstLine="284"/>
        <w:jc w:val="both"/>
        <w:rPr>
          <w:b/>
        </w:rPr>
      </w:pPr>
      <w:r>
        <w:t xml:space="preserve">Приложение 2. </w:t>
      </w:r>
      <w:r>
        <w:rPr>
          <w:b/>
        </w:rPr>
        <w:t>(Исключено, Изм. № 1).</w:t>
      </w:r>
    </w:p>
    <w:p w:rsidR="00000000" w:rsidRDefault="00E7498A">
      <w:pPr>
        <w:ind w:right="2069" w:firstLine="284"/>
        <w:jc w:val="both"/>
      </w:pPr>
    </w:p>
    <w:p w:rsidR="00000000" w:rsidRDefault="00E7498A">
      <w:pPr>
        <w:ind w:right="2070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7498A">
      <w:pPr>
        <w:spacing w:before="120"/>
        <w:ind w:right="2070" w:firstLine="284"/>
        <w:jc w:val="both"/>
        <w:rPr>
          <w:b/>
        </w:rPr>
      </w:pPr>
      <w:r>
        <w:rPr>
          <w:b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E7498A">
      <w:pPr>
        <w:spacing w:before="120"/>
        <w:ind w:right="2070"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E7498A">
      <w:pPr>
        <w:spacing w:before="120"/>
        <w:ind w:left="284" w:right="2070"/>
        <w:jc w:val="both"/>
        <w:rPr>
          <w:b/>
        </w:rPr>
      </w:pPr>
      <w:r>
        <w:rPr>
          <w:b/>
        </w:rPr>
        <w:t xml:space="preserve">С. Н. Нерсесов, </w:t>
      </w:r>
      <w:r>
        <w:t>канд. техн. наук</w:t>
      </w:r>
      <w:r>
        <w:rPr>
          <w:b/>
        </w:rPr>
        <w:t xml:space="preserve"> </w:t>
      </w:r>
      <w:r>
        <w:t>(руководитель темы)</w:t>
      </w:r>
      <w:r>
        <w:rPr>
          <w:b/>
        </w:rPr>
        <w:t xml:space="preserve">; Л. П. Киселев; Т. В. Захарченко; А. Я. Розенблюм, </w:t>
      </w:r>
      <w:r>
        <w:t>канд</w:t>
      </w:r>
      <w:r>
        <w:t>. техн. наук</w:t>
      </w:r>
      <w:r>
        <w:rPr>
          <w:b/>
        </w:rPr>
        <w:t xml:space="preserve">; В. А. Бажанова; С. А. Каган, </w:t>
      </w:r>
      <w:r>
        <w:t>канд. техн. наук</w:t>
      </w:r>
      <w:r>
        <w:rPr>
          <w:b/>
        </w:rPr>
        <w:t xml:space="preserve">; М. Л. Зайченко, </w:t>
      </w:r>
      <w:r>
        <w:t>канд.</w:t>
      </w:r>
      <w:r>
        <w:rPr>
          <w:b/>
        </w:rPr>
        <w:t xml:space="preserve"> </w:t>
      </w:r>
      <w:r>
        <w:t>техн. наук;</w:t>
      </w:r>
      <w:r>
        <w:rPr>
          <w:b/>
        </w:rPr>
        <w:t xml:space="preserve"> Н. А. Дыховичная; Ф. И. Анацкий; А. М. Гераськин; В. Н. Рудаков; Б. В. Казаринов; Г. М. Шереметова; И. А. Жолобов; Е. А. Антонов; В. И. Иванов; В. М. Скубко</w:t>
      </w:r>
    </w:p>
    <w:p w:rsidR="00000000" w:rsidRDefault="00E7498A">
      <w:pPr>
        <w:spacing w:before="120"/>
        <w:ind w:right="2070"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Совета Министров СССР по делам строительства от 18.01.78 № 5</w:t>
      </w:r>
    </w:p>
    <w:p w:rsidR="00000000" w:rsidRDefault="00E7498A">
      <w:pPr>
        <w:spacing w:before="120"/>
        <w:ind w:right="2070" w:firstLine="284"/>
        <w:jc w:val="both"/>
        <w:rPr>
          <w:b/>
        </w:rPr>
      </w:pPr>
      <w:r>
        <w:rPr>
          <w:b/>
        </w:rPr>
        <w:t>3. ВВЕДЕН ВПЕРВЫЕ</w:t>
      </w:r>
    </w:p>
    <w:p w:rsidR="00000000" w:rsidRDefault="00E7498A">
      <w:pPr>
        <w:spacing w:before="120"/>
        <w:ind w:right="2070" w:firstLine="284"/>
        <w:jc w:val="both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2</w:t>
            </w:r>
            <w:r>
              <w:rPr>
                <w:sz w:val="16"/>
              </w:rPr>
              <w:t>0910-82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E7498A">
            <w:pPr>
              <w:jc w:val="both"/>
              <w:rPr>
                <w:sz w:val="16"/>
              </w:rPr>
            </w:pPr>
            <w:r>
              <w:rPr>
                <w:sz w:val="16"/>
              </w:rPr>
              <w:t>СНиП 2.03.11-85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</w:tr>
    </w:tbl>
    <w:p w:rsidR="00000000" w:rsidRDefault="00E7498A">
      <w:pPr>
        <w:spacing w:before="120"/>
        <w:ind w:right="2070" w:firstLine="284"/>
        <w:jc w:val="both"/>
        <w:rPr>
          <w:b/>
        </w:rPr>
      </w:pPr>
      <w:r>
        <w:rPr>
          <w:b/>
        </w:rPr>
        <w:t>5. ПЕРЕИЗДАНИЕ (декабрь 1990 г.) с Изменением № 1, утвержденным в декабре 1987 г. (ИУС 4-88)</w:t>
      </w:r>
    </w:p>
    <w:p w:rsidR="00000000" w:rsidRDefault="00E7498A">
      <w:pPr>
        <w:ind w:right="2069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98A"/>
    <w:rsid w:val="00E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6861</Characters>
  <Application>Microsoft Office Word</Application>
  <DocSecurity>0</DocSecurity>
  <Lines>57</Lines>
  <Paragraphs>16</Paragraphs>
  <ScaleCrop>false</ScaleCrop>
  <Company>СНИиП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23009-78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2013-04-11T10:51:00Z</dcterms:created>
  <dcterms:modified xsi:type="dcterms:W3CDTF">2013-04-11T10:51:00Z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60891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