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5BB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24476-80</w:t>
      </w:r>
    </w:p>
    <w:p w:rsidR="00000000" w:rsidRDefault="00E85BB6">
      <w:pPr>
        <w:jc w:val="right"/>
        <w:rPr>
          <w:rFonts w:ascii="Times New Roman" w:hAnsi="Times New Roman"/>
          <w:sz w:val="20"/>
        </w:rPr>
      </w:pPr>
    </w:p>
    <w:p w:rsidR="00000000" w:rsidRDefault="00E85BB6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625.15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691.328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Группа Ж33 </w:t>
      </w:r>
    </w:p>
    <w:p w:rsidR="00000000" w:rsidRDefault="00E85BB6">
      <w:pPr>
        <w:jc w:val="right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Фундаменты железобетонные сборные под колонны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каркаса межвидового применения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многоэтажных зданий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Precast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foundations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columns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framework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different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kinds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application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skeletal</w:t>
      </w:r>
      <w:proofErr w:type="spellEnd"/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multistory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58 1221 </w:t>
      </w:r>
    </w:p>
    <w:p w:rsidR="00000000" w:rsidRDefault="00E85BB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1982-01-01 </w:t>
      </w:r>
    </w:p>
    <w:p w:rsidR="00000000" w:rsidRDefault="00E85BB6">
      <w:pPr>
        <w:pStyle w:val="Preformat"/>
        <w:rPr>
          <w:rFonts w:ascii="Times New Roman" w:hAnsi="Times New Roman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гражданскому строительству и архитектуре при Госстрое СССР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 Б. В. Карабанов,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В. И. Павленко; Б. Н. Волынский; Г. Л. </w:t>
      </w:r>
      <w:proofErr w:type="spellStart"/>
      <w:r>
        <w:rPr>
          <w:rFonts w:ascii="Times New Roman" w:hAnsi="Times New Roman"/>
          <w:sz w:val="20"/>
        </w:rPr>
        <w:t>Кац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Е. А. </w:t>
      </w:r>
      <w:proofErr w:type="spellStart"/>
      <w:r>
        <w:rPr>
          <w:rFonts w:ascii="Times New Roman" w:hAnsi="Times New Roman"/>
          <w:sz w:val="20"/>
        </w:rPr>
        <w:t>Со</w:t>
      </w:r>
      <w:r>
        <w:rPr>
          <w:rFonts w:ascii="Times New Roman" w:hAnsi="Times New Roman"/>
          <w:sz w:val="20"/>
        </w:rPr>
        <w:t>рочан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 Я. Швец; В. И. </w:t>
      </w:r>
      <w:proofErr w:type="spellStart"/>
      <w:r>
        <w:rPr>
          <w:rFonts w:ascii="Times New Roman" w:hAnsi="Times New Roman"/>
          <w:sz w:val="20"/>
        </w:rPr>
        <w:t>Деньщиков</w:t>
      </w:r>
      <w:proofErr w:type="spellEnd"/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Государственного комитета СССР по делам строительства от 18 декабря 1980 г.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202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5781-82</w:t>
            </w:r>
          </w:p>
        </w:tc>
        <w:tc>
          <w:tcPr>
            <w:tcW w:w="2693" w:type="dxa"/>
            <w:tcBorders>
              <w:top w:val="nil"/>
            </w:tcBorders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2.4.2, 2.4.3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10060-87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10180-78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10884-81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10922-75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2.4.4, 4.6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12730.0-78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12730.5-84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2.3.2, 2.6.1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13015.1-8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13015.2-81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13015.3-81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13015.4-84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17624-87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17625-83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4.7, 4.8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2.3.1, 2.3.2, 4.2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22690-88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22904-78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23009-78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ГОСТ 25781-83 </w:t>
            </w:r>
            <w:proofErr w:type="spellStart"/>
            <w:r>
              <w:rPr>
                <w:rFonts w:ascii="Times New Roman" w:hAnsi="Times New Roman"/>
              </w:rPr>
              <w:t>E</w:t>
            </w:r>
            <w:proofErr w:type="spellEnd"/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26433.0-85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26433.1-89</w:t>
            </w:r>
          </w:p>
        </w:tc>
        <w:tc>
          <w:tcPr>
            <w:tcW w:w="2693" w:type="dxa"/>
          </w:tcPr>
          <w:p w:rsidR="00000000" w:rsidRDefault="00E85B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</w:tr>
    </w:tbl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ПЕРЕИЗДАНИЕ (июль 1989 г.) с Изменениями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1, утвержденными в январе 1987 г.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5-87).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Настоящий стандарт распространяется на сборные железобетонные фундаменты стаканного типа, изготовляемые из тяжелого бетона и предназначенные для применен</w:t>
      </w:r>
      <w:r>
        <w:rPr>
          <w:rFonts w:ascii="Times New Roman" w:hAnsi="Times New Roman"/>
          <w:sz w:val="20"/>
        </w:rPr>
        <w:t xml:space="preserve">ия в многоэтажных каркасно-панельных общественных зданиях, производственных и вспомогательных зданиях промышленных предприятий, проектируемых из конструкций серий 1.020-1/83, 1.020.1-2с и возводимых в несейсмических и сейсмических районах, в грунтах и грунтовых водах при неагрессивной, слабо- и </w:t>
      </w:r>
      <w:proofErr w:type="spellStart"/>
      <w:r>
        <w:rPr>
          <w:rFonts w:ascii="Times New Roman" w:hAnsi="Times New Roman"/>
          <w:sz w:val="20"/>
        </w:rPr>
        <w:t>среднеагрессивной</w:t>
      </w:r>
      <w:proofErr w:type="spellEnd"/>
      <w:r>
        <w:rPr>
          <w:rFonts w:ascii="Times New Roman" w:hAnsi="Times New Roman"/>
          <w:sz w:val="20"/>
        </w:rPr>
        <w:t xml:space="preserve"> степенях воздействия на железобетонные конструкции.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не распространяется на фундаменты, предназначенные для применения в зданиях, возводимых на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и вечномерзлых грунтах и</w:t>
      </w:r>
      <w:r>
        <w:rPr>
          <w:rFonts w:ascii="Times New Roman" w:hAnsi="Times New Roman"/>
          <w:sz w:val="20"/>
        </w:rPr>
        <w:t xml:space="preserve"> на подрабатываемых территориях.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Фундаменты подразделяют на следующие типы: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1Ф - фундаменты под колонны с поперечным сечением размерами 300х300 мм;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2Ф - то же, под колонны с поперечным сечением размерами 400х400 мм.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1.2. </w:t>
      </w:r>
      <w:r>
        <w:rPr>
          <w:rFonts w:ascii="Times New Roman" w:hAnsi="Times New Roman"/>
          <w:sz w:val="20"/>
        </w:rPr>
        <w:t>Форма и размеры фундаментов, а также их показатели материалоемкости должны соответствовать указанным на чертеже и в таблице.</w:t>
      </w:r>
    </w:p>
    <w:p w:rsidR="00000000" w:rsidRDefault="00E85BB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1.1, 1.2.(Измененная редакция, 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.№1).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Несущую способность фундаментов в завис</w:t>
      </w:r>
      <w:r>
        <w:rPr>
          <w:rFonts w:ascii="Times New Roman" w:hAnsi="Times New Roman"/>
          <w:sz w:val="20"/>
        </w:rPr>
        <w:t>имости от действующих усилий принимают по рабочим чертежам.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Фундаменты изготовляют с монтажными петлями.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фундаментов без монтажных петель и применение для их подъема и монтажа захватных устройств допускается по согласованию между изготовителем, потребителем и проектной организацией - автором проекта.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Фундаменты следует обозначать марками в соответствии с ГОСТ 23009-78.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фундаментов состоит из одной или двух буквенно-цифровых групп, разделенных тире.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</w:t>
      </w:r>
      <w:r>
        <w:rPr>
          <w:rFonts w:ascii="Times New Roman" w:hAnsi="Times New Roman"/>
          <w:sz w:val="20"/>
        </w:rPr>
        <w:t>ение типа фундамента, длину (ширину) подошвы и высоту фундамента в дециметрах (значение высоты округляют до целого числа).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группа содержит обозначение несущей способности фундамента, а для фундаментов, предназначенных для эксплуатации в агрессивной среде, дополнительно содержит показатель проницаемости бетона, обозначаемый буквой: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 - нормальной проницаемости;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- пониженной проницаемости.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фундамента типа 1Ф с подошвой размерами 1800х1800 мм, высотой 750 мм, перво</w:t>
      </w:r>
      <w:r>
        <w:rPr>
          <w:rFonts w:ascii="Times New Roman" w:hAnsi="Times New Roman"/>
          <w:sz w:val="20"/>
        </w:rPr>
        <w:t>й несущей способности, предназначенного для эксплуатации в неагрессивной среде:</w:t>
      </w:r>
    </w:p>
    <w:p w:rsidR="00000000" w:rsidRDefault="00E85BB6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1Ф18.8-1 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типа 2Ф с подошвой размерами 1500х1500 мм, высотой 900 мм, второй несущей способности, из бетона пониженной проницаемости:</w:t>
      </w:r>
    </w:p>
    <w:p w:rsidR="00000000" w:rsidRDefault="00E85BB6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2Ф15.9-2П.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Фундаменты следует изготовлять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серий 1.020-1/83 и 1.020.1-2с.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</w:t>
      </w:r>
      <w:r>
        <w:rPr>
          <w:rFonts w:ascii="Times New Roman" w:hAnsi="Times New Roman"/>
          <w:sz w:val="20"/>
        </w:rPr>
        <w:t xml:space="preserve">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Фундаменты следует изготовлять в стальных формах, удовлетворяющих требованиям ГОСТ 25781.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фундаменты в неметаллических формах, обеспечивающих соблюдение требований настоящего стандарта к качеству и точности изготовления фундаментов.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E85BB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Фундаменты типоразмеров</w:t>
            </w:r>
          </w:p>
          <w:p w:rsidR="00000000" w:rsidRDefault="00E85B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1Ф12.8; 2Ф12.9</w:t>
            </w:r>
          </w:p>
        </w:tc>
        <w:tc>
          <w:tcPr>
            <w:tcW w:w="4264" w:type="dxa"/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Фундаменты типоразмеров</w:t>
            </w:r>
          </w:p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1Ф15.8; 1Ф15.9; 1Ф18.8;</w:t>
            </w:r>
          </w:p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1Ф18.9; 1Ф21.8; 1Ф21.9;</w:t>
            </w:r>
          </w:p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2Ф15.9; 2Ф18.9; 2Ф18.11;</w:t>
            </w:r>
          </w:p>
          <w:p w:rsidR="00000000" w:rsidRDefault="00E85B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2Ф21.9; 2Ф21.11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2"/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7.5pt;height:337.5pt">
                  <v:imagedata r:id="rId5" o:title=""/>
                </v:shape>
              </w:pict>
            </w:r>
          </w:p>
        </w:tc>
      </w:tr>
    </w:tbl>
    <w:p w:rsidR="00000000" w:rsidRDefault="00E85BB6">
      <w:pPr>
        <w:pStyle w:val="Preformat"/>
        <w:rPr>
          <w:rFonts w:ascii="Times New Roman" w:hAnsi="Times New Roman"/>
        </w:rPr>
      </w:pPr>
    </w:p>
    <w:p w:rsidR="00000000" w:rsidRDefault="00E85BB6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1 - монтажная петля </w:t>
      </w:r>
    </w:p>
    <w:p w:rsidR="00000000" w:rsidRDefault="00E85BB6">
      <w:pPr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Бетон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Фактическая прочность бетона (в</w:t>
      </w:r>
      <w:r>
        <w:rPr>
          <w:rFonts w:ascii="Times New Roman" w:hAnsi="Times New Roman"/>
          <w:sz w:val="20"/>
        </w:rPr>
        <w:t xml:space="preserve"> проектном возрасте и отпускная) должна соответствовать требуемой, назначаемой по ГОСТ 18105 в зависимости от нормируемой прочности бетона, указанной в таблице, и от показателя фактической однородности прочности бетона.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2.3.2. Поставку фундаментов потребителю следует производить после достижения бетоном требуемой отпускной прочности.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отпускной прочности бетона фундаментов следует принимать равным 70 % марки бетона по прочности на сжатие. При поставке фундаментов в холодный период года з</w:t>
      </w:r>
      <w:r>
        <w:rPr>
          <w:rFonts w:ascii="Times New Roman" w:hAnsi="Times New Roman"/>
          <w:sz w:val="20"/>
        </w:rPr>
        <w:t>начение нормируемой отпускной прочности бетона может быть повышено, но не более 90 % марки по прочности на сжатие. Значение нормируемой отпускной прочности бетона должно соответствовать указанному в проектной документации на конкретное здание и в заказе на изготовление фундаментов согласно требованиям ГОСТ 13015.0-83.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Поставку фундаментов с отпускной прочностью бетона ниже прочности, соответствующей его марке по прочности на сжатие, производят при условии, если изготовитель гарантирует достижение бетоном фу</w:t>
      </w:r>
      <w:r>
        <w:rPr>
          <w:rFonts w:ascii="Times New Roman" w:hAnsi="Times New Roman"/>
          <w:sz w:val="20"/>
        </w:rPr>
        <w:t>ндамента требуемой прочности в проектном возрасте, определяемой по результатам испытания контрольных образцов, изготовленных из бетонной смеси рабочего состава и хранившихся в условиях согласно ГОСТ 18105-86.</w:t>
      </w:r>
    </w:p>
    <w:p w:rsidR="00000000" w:rsidRDefault="00E85B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Морозостойкость бетона фундаментов должна соответствовать марке по морозостойкости, установленной рабочими чертежами проекта конкретного здания согласно требованиям СНиП 2.03.01-84 в зависимости от климатических условий района строительства и указанной в заказе на изготовление фундаментов.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85BB6">
      <w:pPr>
        <w:pStyle w:val="Heading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692"/>
        <w:gridCol w:w="692"/>
        <w:gridCol w:w="692"/>
        <w:gridCol w:w="692"/>
        <w:gridCol w:w="692"/>
        <w:gridCol w:w="692"/>
        <w:gridCol w:w="693"/>
        <w:gridCol w:w="1252"/>
        <w:gridCol w:w="898"/>
        <w:gridCol w:w="844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</w:t>
            </w:r>
            <w:r>
              <w:rPr>
                <w:rFonts w:ascii="Times New Roman" w:hAnsi="Times New Roman"/>
              </w:rPr>
              <w:t>ка фундамента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Размеры фундамент, мм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Марка бетона по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Расход материалов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Масса фундамента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proofErr w:type="spellStart"/>
            <w:r>
              <w:rPr>
                <w:rFonts w:ascii="Times New Roman" w:hAnsi="Times New Roman"/>
                <w:i/>
              </w:rPr>
              <w:t>l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proofErr w:type="spellStart"/>
            <w:r>
              <w:rPr>
                <w:rFonts w:ascii="Times New Roman" w:hAnsi="Times New Roman"/>
                <w:i/>
              </w:rPr>
              <w:t>h</w:t>
            </w:r>
            <w:proofErr w:type="spellEnd"/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125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прочности на сжатие</w:t>
            </w: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Бетон,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Сталь, кг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(справочная),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1Ф12.8-1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1Ф12.8-2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1Ф12.8-3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1Ф15.8-1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1Ф15.8-2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1Ф15.8-3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1Ф15.9-1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1Ф18.8-1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1Ф18.8-2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1Ф18.9-1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1Ф18</w:t>
            </w:r>
            <w:r>
              <w:rPr>
                <w:rFonts w:ascii="Times New Roman" w:hAnsi="Times New Roman"/>
              </w:rPr>
              <w:t>.9-2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1Ф18.9-3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1Ф21.8-1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1Ф21.8-2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1Ф21.9-1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2Ф12.9-1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2Ф12.9-2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2Ф15.9-1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2Ф15.9-2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2Ф18.9-1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2Ф18.9-2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2Ф18.9-3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2Ф18.11-1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2Ф21.9-1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2Ф21.9-2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2Ф21.9-3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8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376" w:type="dxa"/>
            <w:tcBorders>
              <w:left w:val="nil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2Ф21.11-1</w:t>
            </w: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nil"/>
              <w:bottom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85BB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</w:tbl>
    <w:p w:rsidR="00000000" w:rsidRDefault="00E85BB6">
      <w:pPr>
        <w:pStyle w:val="Preformat"/>
        <w:rPr>
          <w:rFonts w:ascii="Times New Roman" w:hAnsi="Times New Roman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85BB6" w:rsidP="00E85BB6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СНиП 2.03.11-85 и оговоренным в заказе на изготовление фундаментов.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2.3.1- 2.3.4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2.3.5.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Материалы, применяемые для приготовления бетона, должны удо</w:t>
      </w:r>
      <w:r>
        <w:rPr>
          <w:rFonts w:ascii="Times New Roman" w:hAnsi="Times New Roman"/>
          <w:sz w:val="20"/>
        </w:rPr>
        <w:t>влетворять требованиям государственных стандартов или утвержденных в установленном порядке технических условий и обеспечивать выполнение технических требований к бетону, установленных настоящим стандартом.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Арматурные изделия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Форма и размеры арматурных изделий и их положение в фундаментах должны соответствовать указанным в рабочих чертежах.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Для армирования фундаментов следует применять горячекатаную арматурную сталь класса </w:t>
      </w:r>
      <w:proofErr w:type="spellStart"/>
      <w:r>
        <w:rPr>
          <w:rFonts w:ascii="Times New Roman" w:hAnsi="Times New Roman"/>
          <w:sz w:val="20"/>
        </w:rPr>
        <w:t>А-III</w:t>
      </w:r>
      <w:proofErr w:type="spellEnd"/>
      <w:r>
        <w:rPr>
          <w:rFonts w:ascii="Times New Roman" w:hAnsi="Times New Roman"/>
          <w:sz w:val="20"/>
        </w:rPr>
        <w:t xml:space="preserve"> по ГОСТ 5781-82 или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арматурную с</w:t>
      </w:r>
      <w:r>
        <w:rPr>
          <w:rFonts w:ascii="Times New Roman" w:hAnsi="Times New Roman"/>
          <w:sz w:val="20"/>
        </w:rPr>
        <w:t xml:space="preserve">таль класса </w:t>
      </w:r>
      <w:proofErr w:type="spellStart"/>
      <w:r>
        <w:rPr>
          <w:rFonts w:ascii="Times New Roman" w:hAnsi="Times New Roman"/>
          <w:sz w:val="20"/>
        </w:rPr>
        <w:t>Ат-IIIС</w:t>
      </w:r>
      <w:proofErr w:type="spellEnd"/>
      <w:r>
        <w:rPr>
          <w:rFonts w:ascii="Times New Roman" w:hAnsi="Times New Roman"/>
          <w:sz w:val="20"/>
        </w:rPr>
        <w:t xml:space="preserve"> по ГОСТ 10884-81.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2.4.3. Для изготовления монтажных петель фундаментов следует применять гладкую стержневую горячекатаную арматуру класса </w:t>
      </w:r>
      <w:proofErr w:type="spellStart"/>
      <w:r>
        <w:rPr>
          <w:rFonts w:ascii="Times New Roman" w:hAnsi="Times New Roman"/>
          <w:sz w:val="20"/>
        </w:rPr>
        <w:t>А-I</w:t>
      </w:r>
      <w:proofErr w:type="spellEnd"/>
      <w:r>
        <w:rPr>
          <w:rFonts w:ascii="Times New Roman" w:hAnsi="Times New Roman"/>
          <w:sz w:val="20"/>
        </w:rPr>
        <w:t xml:space="preserve"> марок ВСтЗпс2 и ВСтЗсп2 или периодического профиля класса </w:t>
      </w:r>
      <w:proofErr w:type="spellStart"/>
      <w:r>
        <w:rPr>
          <w:rFonts w:ascii="Times New Roman" w:hAnsi="Times New Roman"/>
          <w:sz w:val="20"/>
        </w:rPr>
        <w:t>АсII</w:t>
      </w:r>
      <w:proofErr w:type="spellEnd"/>
      <w:r>
        <w:rPr>
          <w:rFonts w:ascii="Times New Roman" w:hAnsi="Times New Roman"/>
          <w:sz w:val="20"/>
        </w:rPr>
        <w:t xml:space="preserve"> марки 10ГТ по ГОСТ 5781-82.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Сталь марки ВСтЗпс2 не допускается применять для монтажных петель, предназначенных для подъема и монтажа фундаментов при температуре ниже минус 40 </w:t>
      </w:r>
      <w:proofErr w:type="spellStart"/>
      <w:r>
        <w:rPr>
          <w:rFonts w:ascii="Times New Roman" w:hAnsi="Times New Roman"/>
          <w:sz w:val="20"/>
        </w:rPr>
        <w:t>град.С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2.4.2, 2.4.3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Сварные арматурные изделия должны соответствовать</w:t>
      </w:r>
      <w:r>
        <w:rPr>
          <w:rFonts w:ascii="Times New Roman" w:hAnsi="Times New Roman"/>
          <w:sz w:val="20"/>
        </w:rPr>
        <w:t xml:space="preserve"> требованиям ГОСТ 10922-75.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Сварные соединения арматурных сеток следует осуществлять контактной сваркой. Сварке подлежат все пересечения стержней.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Точность изготовления фундаментов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2.5.1. Отклонения фактических размеров фундаментов от номинальных, приведенных в рабочих чертежах, не должны превышать, мм: 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74"/>
        <w:gridCol w:w="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4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длине (ширине)</w:t>
            </w:r>
          </w:p>
        </w:tc>
        <w:tc>
          <w:tcPr>
            <w:tcW w:w="619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4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высоте</w:t>
            </w:r>
          </w:p>
        </w:tc>
        <w:tc>
          <w:tcPr>
            <w:tcW w:w="619" w:type="dxa"/>
          </w:tcPr>
          <w:p w:rsidR="00000000" w:rsidRDefault="00E85BB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±10</w:t>
            </w:r>
          </w:p>
        </w:tc>
      </w:tr>
    </w:tbl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от номинальных размеров стакана под колонну и выступов фундамента не должны превышать ±5 мм.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2.5.2. 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 подошвы фундам</w:t>
      </w:r>
      <w:r>
        <w:rPr>
          <w:rFonts w:ascii="Times New Roman" w:hAnsi="Times New Roman"/>
          <w:sz w:val="20"/>
        </w:rPr>
        <w:t>ентов не должно превышать ±5 мм.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Отклонения от номинальной толщины защитного слоя бетона до арматуры не должны превышать + 10; - 5 мм.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Качество поверхностей фундаментов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Требования к качеству поверхностей и внешнему виду фундаментов (в том числе требования к допустимой ширине раскрытия технологических трещин) - по ГОСТ 13015.0-83.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Устанавливается категория бетонных поверхностей фундамента А7.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Приемка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Правила приемки фундаментов - по ГОСТ 13015.1-</w:t>
      </w:r>
      <w:r>
        <w:rPr>
          <w:rFonts w:ascii="Times New Roman" w:hAnsi="Times New Roman"/>
          <w:sz w:val="20"/>
        </w:rPr>
        <w:t>81 и настоящему стандарту.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фундаментов в партии должно быть не более 200.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Фундаменты принимают: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 бетона, а также по водонепроницаемости бетона фундаментов, предназначенных для эксплуатации в среде с агрессивной степенью воздействия на железобетонные конструкции;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испытаний - по показателям прочности бетона (марке бетона по прочности на сжатие, отпускной прочности), соответствия арматурных изделий</w:t>
      </w:r>
      <w:r>
        <w:rPr>
          <w:rFonts w:ascii="Times New Roman" w:hAnsi="Times New Roman"/>
          <w:sz w:val="20"/>
        </w:rPr>
        <w:t xml:space="preserve"> рабочим чертежам,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 и категории бетонной поверхности.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 приемке фундаментов по показателям точности геометрических параметров, толщины защитного слоя бетона до арматуры, ширины раскрытия технологических трещин и категории бетонной поверхности следует применять одноступенчатый выборочный контроль.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Приемку фундаментов по показателям, проверяемым осмотр</w:t>
      </w:r>
      <w:r>
        <w:rPr>
          <w:rFonts w:ascii="Times New Roman" w:hAnsi="Times New Roman"/>
          <w:sz w:val="20"/>
        </w:rPr>
        <w:t xml:space="preserve">ом: по наличию монтажных петель, правильности нанесения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надписей и знаков - следует производить путем сплошного контроля с отбраковкой фундаментов, имеющих дефекты по указанным показателям.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Разд. 3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 и испытаний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Прочность бетона на сжатие следует определять по ГОСТ 10180-78 на серии образцов, изготовленных из бетонной смеси рабочего состава и хранившихся в условиях, установленных ГОСТ 18105-86.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Отпускную проч</w:t>
      </w:r>
      <w:r>
        <w:rPr>
          <w:rFonts w:ascii="Times New Roman" w:hAnsi="Times New Roman"/>
          <w:sz w:val="20"/>
        </w:rPr>
        <w:t>ность бетона следует определять неразрушающими методами по ГОСТ 176247 и ГОСТ 22690.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следует определять по ГОСТ 10060 на серии образцов, изготовленных из бетонной смеси рабочего состава.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Водонепроницаемость бетона (при необходимости) следует определять на серии образцов, изготовленных из бетонной смеси рабочего состава, согласно ГОСТ 12730.0 и ГОСТ 12730.5.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4.2-4.4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Методы контроля и испытаний сварных арматурн</w:t>
      </w:r>
      <w:r>
        <w:rPr>
          <w:rFonts w:ascii="Times New Roman" w:hAnsi="Times New Roman"/>
          <w:sz w:val="20"/>
        </w:rPr>
        <w:t>ых изделий по ГОСТ 10922.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Толщину защитного слоя и положение арматуры в бетоне фундаментов следует определять неразрушающими методами по ГОСТ 17625 или ГОСТ 22904.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необходимых приборов допускается вырубка борозд и обнажение арматуры фундамента с последующей заделкой борозд.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Размеры,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>, качество поверхностей фундаментов, положение монтажных петель следует проверять в соответствии с требованиями ГОСТ 26433.0 и ГОСТ 26433.1.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Методы контроля и испытаний исходных матер</w:t>
      </w:r>
      <w:r>
        <w:rPr>
          <w:rFonts w:ascii="Times New Roman" w:hAnsi="Times New Roman"/>
          <w:sz w:val="20"/>
        </w:rPr>
        <w:t>иалов для изготовления фундаментов должны соответствовать установленным в стандартах или технических условиях на эти материалы.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хранение и транспортирование</w:t>
      </w:r>
    </w:p>
    <w:p w:rsidR="00000000" w:rsidRDefault="00E85B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Маркировка </w:t>
      </w:r>
      <w:proofErr w:type="spellStart"/>
      <w:r>
        <w:rPr>
          <w:rFonts w:ascii="Times New Roman" w:hAnsi="Times New Roman"/>
          <w:sz w:val="20"/>
        </w:rPr>
        <w:t>фунтаментов</w:t>
      </w:r>
      <w:proofErr w:type="spellEnd"/>
      <w:r>
        <w:rPr>
          <w:rFonts w:ascii="Times New Roman" w:hAnsi="Times New Roman"/>
          <w:sz w:val="20"/>
        </w:rPr>
        <w:t xml:space="preserve"> - по ГОСТ 13015.2.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боковую грань фундамента.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Требования к документу о качестве фундаментов, поставляемых потребителю, - по ГОСТ 13015.3.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 в документе о качестве фундаментов должна быть приведена марка бетона по морозостойкости, а для фундамен</w:t>
      </w:r>
      <w:r>
        <w:rPr>
          <w:rFonts w:ascii="Times New Roman" w:hAnsi="Times New Roman"/>
          <w:sz w:val="20"/>
        </w:rPr>
        <w:t>тов, предназначенных для эксплуатации в агрессивной среде, водонепроницаемость бетона (если эти показатели оговорены в заказе на изготовление фундаментов).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Транспортировать и хранить фундаменты следует в рабочем положении в соответствии с требованиями ГОСТ 13015.4 и настоящего стандарта.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5.1-5.3 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Фундаменты следует хранить в штабелях рассортированными по маркам и партиям. Высота штабеля фундаментов не должна превышать двух рядов.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хранении каждый фундамент</w:t>
      </w:r>
      <w:r>
        <w:rPr>
          <w:rFonts w:ascii="Times New Roman" w:hAnsi="Times New Roman"/>
          <w:sz w:val="20"/>
        </w:rPr>
        <w:t xml:space="preserve"> следует укладывать на деревянные инвентарные прокладки и подкладки. Толщина прокладок должна быть не менее 100 мм, подкладок - не менее 30 мм. Прокладки и подкладки в штабеле необходимо располагать по одной вертикали.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под нижний ряд фундаментов следует укладывать по плотному, тщательно выровненному основанию.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При транспортировании фундаментов их следует укладывать в один ряд на деревянные подкладки с надежным закреплением, предохраняющим от смещения во время пере</w:t>
      </w:r>
      <w:r>
        <w:rPr>
          <w:rFonts w:ascii="Times New Roman" w:hAnsi="Times New Roman"/>
          <w:sz w:val="20"/>
        </w:rPr>
        <w:t>возки.</w:t>
      </w:r>
    </w:p>
    <w:p w:rsidR="00000000" w:rsidRDefault="00E85B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5B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Типы, основные параметры и размеры</w:t>
      </w:r>
    </w:p>
    <w:p w:rsidR="00000000" w:rsidRDefault="00E85B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Фундаменты</w:t>
      </w:r>
    </w:p>
    <w:p w:rsidR="00000000" w:rsidRDefault="00E85B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E85B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Приемка</w:t>
      </w:r>
    </w:p>
    <w:p w:rsidR="00000000" w:rsidRDefault="00E85B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 и испытаний</w:t>
      </w:r>
    </w:p>
    <w:p w:rsidR="00000000" w:rsidRDefault="00E85B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хранение и транспортирование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E49"/>
    <w:multiLevelType w:val="singleLevel"/>
    <w:tmpl w:val="C44ADB20"/>
    <w:lvl w:ilvl="0">
      <w:start w:val="4"/>
      <w:numFmt w:val="decimal"/>
      <w:lvlText w:val="2.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B6"/>
    <w:rsid w:val="00E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2126</Words>
  <Characters>12123</Characters>
  <Application>Microsoft Office Word</Application>
  <DocSecurity>0</DocSecurity>
  <Lines>101</Lines>
  <Paragraphs>28</Paragraphs>
  <ScaleCrop>false</ScaleCrop>
  <Company>Elcom Ltd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24476-80  </dc:title>
  <dc:subject/>
  <dc:creator>CNTI</dc:creator>
  <cp:keywords/>
  <dc:description/>
  <cp:lastModifiedBy>Parhomeiai</cp:lastModifiedBy>
  <cp:revision>2</cp:revision>
  <dcterms:created xsi:type="dcterms:W3CDTF">2013-04-11T10:51:00Z</dcterms:created>
  <dcterms:modified xsi:type="dcterms:W3CDTF">2013-04-11T10:51:00Z</dcterms:modified>
</cp:coreProperties>
</file>