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4052">
      <w:pPr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ГОСТ 2.503-90</w:t>
      </w:r>
    </w:p>
    <w:p w:rsidR="00000000" w:rsidRDefault="00614052">
      <w:pPr>
        <w:ind w:firstLine="284"/>
        <w:jc w:val="right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СТ</w:t>
      </w:r>
      <w:proofErr w:type="spellEnd"/>
      <w:r>
        <w:rPr>
          <w:sz w:val="20"/>
        </w:rPr>
        <w:t xml:space="preserve"> СЭВ 1631-79, </w:t>
      </w:r>
      <w:proofErr w:type="spellStart"/>
      <w:r>
        <w:rPr>
          <w:sz w:val="20"/>
        </w:rPr>
        <w:t>СТ</w:t>
      </w:r>
      <w:proofErr w:type="spellEnd"/>
      <w:r>
        <w:rPr>
          <w:sz w:val="20"/>
        </w:rPr>
        <w:t xml:space="preserve"> СЭВ 4405-83)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УДК 62(084.1</w:t>
      </w:r>
      <w:r>
        <w:rPr>
          <w:sz w:val="20"/>
          <w:lang w:val="en-US"/>
        </w:rPr>
        <w:t>1):</w:t>
      </w:r>
      <w:r>
        <w:rPr>
          <w:sz w:val="20"/>
        </w:rPr>
        <w:t>006.354                                                                                              Группа Т52</w:t>
      </w:r>
    </w:p>
    <w:p w:rsidR="00000000" w:rsidRDefault="00614052">
      <w:pPr>
        <w:ind w:firstLine="284"/>
        <w:jc w:val="center"/>
        <w:rPr>
          <w:b/>
          <w:sz w:val="20"/>
        </w:rPr>
      </w:pPr>
    </w:p>
    <w:p w:rsidR="00000000" w:rsidRDefault="00614052">
      <w:pPr>
        <w:ind w:firstLine="284"/>
        <w:jc w:val="center"/>
        <w:rPr>
          <w:sz w:val="20"/>
        </w:rPr>
      </w:pPr>
      <w:r>
        <w:rPr>
          <w:b/>
          <w:sz w:val="20"/>
        </w:rPr>
        <w:t>ГОСУДАРСТВЕННЫЙ СТАНДАРТ СОЮЗА ССР</w:t>
      </w:r>
    </w:p>
    <w:p w:rsidR="00000000" w:rsidRDefault="00614052">
      <w:pPr>
        <w:ind w:firstLine="284"/>
        <w:jc w:val="center"/>
        <w:rPr>
          <w:b/>
          <w:sz w:val="20"/>
        </w:rPr>
      </w:pPr>
    </w:p>
    <w:p w:rsidR="00000000" w:rsidRDefault="00614052">
      <w:pPr>
        <w:ind w:firstLine="284"/>
        <w:jc w:val="center"/>
        <w:rPr>
          <w:sz w:val="20"/>
        </w:rPr>
      </w:pPr>
      <w:r>
        <w:rPr>
          <w:b/>
          <w:sz w:val="20"/>
        </w:rPr>
        <w:t>Единая система конструкторской документации</w:t>
      </w:r>
    </w:p>
    <w:p w:rsidR="00000000" w:rsidRDefault="00614052">
      <w:pPr>
        <w:ind w:firstLine="284"/>
        <w:jc w:val="center"/>
        <w:rPr>
          <w:b/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ПРАВИЛА ВНЕСЕНИЯ ИЗМЕНЕНИЙ</w:t>
      </w:r>
    </w:p>
    <w:p w:rsidR="00000000" w:rsidRDefault="00614052">
      <w:pPr>
        <w:ind w:firstLine="284"/>
        <w:jc w:val="center"/>
        <w:rPr>
          <w:sz w:val="20"/>
        </w:rPr>
      </w:pPr>
    </w:p>
    <w:p w:rsidR="00000000" w:rsidRDefault="00614052">
      <w:pPr>
        <w:ind w:firstLine="284"/>
        <w:jc w:val="center"/>
        <w:rPr>
          <w:sz w:val="20"/>
        </w:rPr>
      </w:pPr>
      <w:r>
        <w:rPr>
          <w:sz w:val="20"/>
          <w:lang w:val="en-US"/>
        </w:rPr>
        <w:t>Unified system of design documentation</w:t>
      </w:r>
      <w:r>
        <w:rPr>
          <w:sz w:val="20"/>
        </w:rPr>
        <w:t>.</w:t>
      </w:r>
    </w:p>
    <w:p w:rsidR="00000000" w:rsidRDefault="00614052">
      <w:pPr>
        <w:ind w:firstLine="284"/>
        <w:jc w:val="center"/>
        <w:rPr>
          <w:sz w:val="20"/>
        </w:rPr>
      </w:pPr>
      <w:r>
        <w:rPr>
          <w:sz w:val="20"/>
          <w:lang w:val="en-US"/>
        </w:rPr>
        <w:t xml:space="preserve">Rules of making modifications 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ОКСТУ 0002</w:t>
      </w:r>
    </w:p>
    <w:p w:rsidR="00000000" w:rsidRDefault="00614052">
      <w:pPr>
        <w:ind w:firstLine="284"/>
        <w:jc w:val="both"/>
        <w:rPr>
          <w:b/>
          <w:sz w:val="20"/>
        </w:rPr>
      </w:pPr>
    </w:p>
    <w:p w:rsidR="00000000" w:rsidRDefault="00614052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Дата введения 01.01.91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ИНФОРМАЦИОННЫЕ ДАННЫЕ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 РАЗРАБОТАН И ВНЕСЕН Государственным комитетом СССР по управлению качеством продукции и стандартам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РАЗРАБОТЧИКИ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П.А. Шалаев, Б.С. Мендриков (руководитель темы), С.С. Борушек, Б.Я. Кабаков, В.Г. Мартынов, К.Н. Ничков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 УТВЕРЖДЕН И ВВЕДЕН В ДЕЙСТВИЕ Постановлением Государственного комитета СССР по управлению качеством продукции и стандартам от 26</w:t>
      </w:r>
      <w:r>
        <w:rPr>
          <w:sz w:val="20"/>
        </w:rPr>
        <w:t>.04.90 № 1031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3. Стандарт полностью соответствует </w:t>
      </w:r>
      <w:proofErr w:type="spellStart"/>
      <w:r>
        <w:rPr>
          <w:sz w:val="20"/>
        </w:rPr>
        <w:t>СТ</w:t>
      </w:r>
      <w:proofErr w:type="spellEnd"/>
      <w:r>
        <w:rPr>
          <w:sz w:val="20"/>
        </w:rPr>
        <w:t xml:space="preserve"> СЭВ 1631—79, </w:t>
      </w:r>
      <w:proofErr w:type="spellStart"/>
      <w:r>
        <w:rPr>
          <w:sz w:val="20"/>
        </w:rPr>
        <w:t>СТ</w:t>
      </w:r>
      <w:proofErr w:type="spellEnd"/>
      <w:r>
        <w:rPr>
          <w:sz w:val="20"/>
        </w:rPr>
        <w:t xml:space="preserve"> СЭВ 4405—83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4. ВЗАМЕН ГОСТ 2.503—74, ГОСТ 2.505—82, ГОСТ 2.506—84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5. ССЫЛОЧНЫЕ НОРМАТИВНО-ТЕХНИЧЕСКИЕ ДОКУМЕНТЫ</w:t>
      </w:r>
    </w:p>
    <w:p w:rsidR="00000000" w:rsidRDefault="00614052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0"/>
        <w:gridCol w:w="3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Обозначение НТД, </w:t>
            </w:r>
          </w:p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который дана ссылка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пункта, 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ГОСТ 2.004—88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Приложения 2,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ГОСТ 2.102—68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2.3, приложение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ГОСТ 2.104—68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Приложения 1, 3,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ГОСТ 2.105—79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Приложения 2,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ГОСТ 2.113—75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ГОСТ 2.301—68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Приложения 2,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ГОСТ 2.501—88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1.4, приложения 2,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ГОСТ 2.603—68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Приложения 1, 2,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z w:val="20"/>
              </w:rPr>
              <w:t>СТ 3.1102—81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Приложение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ГОСТ 3.1103—82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Приложение 1, 2, 3,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ГОСТ 3.1105—84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Приложение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ГОСТ 3.1201—85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1.4, 3.2.1, приложение 2,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ГОСТ 13.1.002—80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ГОСТ 19.603—78</w:t>
            </w:r>
          </w:p>
        </w:tc>
        <w:tc>
          <w:tcPr>
            <w:tcW w:w="3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Приложения 1,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ГОСТ 28388—89</w:t>
            </w:r>
          </w:p>
        </w:tc>
        <w:tc>
          <w:tcPr>
            <w:tcW w:w="3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</w:tr>
    </w:tbl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Настоящий стандарт устанавливает правила внесения изменений в конструкторские, технологические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и программные документы (далее — документы).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1. ОБЩИЕ ПОЛОЖЕНИЯ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1.1. Под изменением документа понимается любое исправление, исключение или добавление каких-либо данных в этот документ.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1.2. Изменения в </w:t>
      </w:r>
      <w:r>
        <w:rPr>
          <w:sz w:val="20"/>
        </w:rPr>
        <w:t>документы вносят в случае, если они не нарушают взаимозаменяемость изделия с изделиями, изготовленными ранее *</w:t>
      </w:r>
      <w:r>
        <w:rPr>
          <w:sz w:val="20"/>
          <w:vertAlign w:val="superscript"/>
        </w:rPr>
        <w:t>2</w:t>
      </w:r>
      <w:r>
        <w:rPr>
          <w:sz w:val="20"/>
        </w:rPr>
        <w:t>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1.3. Любое изменение в документе, вызывающее какие-либо изменения в других документах, должно одновременно сопровождаться внесением соответствующих изменений во все взаимосвязанные документы.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1.4. Если изменяемый документ на изделие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входит в состав документов других изделий, то должна быть обеспечена возможность внесения изменений в документы всех изделий, указанных в карточках учета документов </w:t>
      </w:r>
      <w:r>
        <w:rPr>
          <w:sz w:val="20"/>
        </w:rPr>
        <w:t>по ГОСТ 2.501 или в карточке учета применяемости документов по ГОСТ 3.1201. Если хотя бы для одного изделия изменение документа окажется неприемлемым, то на изменяемое изделие должен быть выпущен новый документ с новым обозначением *.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1.5. Изменение документов на всех стадиях жизненного цикла изделия вносят на основании извещения об изменении (ИИ) (приложение 2).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Информацию об изменении документа указывают в основной надписи этого документа и (или) в листе регистрации изменений (приложение 3).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Допускается в</w:t>
      </w:r>
      <w:r>
        <w:rPr>
          <w:sz w:val="20"/>
        </w:rPr>
        <w:t>носить изменения в конструкторские документы опытного образца (опытной партии), изделий единичного и вспомогательного производства, а также технологические документы, разрабатываемые на стадиях «предварительный проект» и «опытный образец (опытная партия)» и изделий единичного и вспомогательного производства без выпуска ИИ на основании журнала изменений (приложение 2) при условии изготовления изделия только на одном предприятии. Использование журнала изменений для изделий, разрабатываемых по заказу Министерс</w:t>
      </w:r>
      <w:r>
        <w:rPr>
          <w:sz w:val="20"/>
        </w:rPr>
        <w:t>тва обороны, производится по согласованию с заказчиком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(представителем заказчика).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Допускается не вносить в документы изделий народнохозяйственного назначения изменения, связанные с изменением стандартов и технических условий на материалы и изделия, когда в измененном стандарте (технических условиях) сохраняется применяемая марка (сортамент) и условное обозначение материала (изделия), а новая характеристика качества и параметры, определяющие его взаимозаменяемость, соответствуют требованиям данного докумен</w:t>
      </w:r>
      <w:r>
        <w:rPr>
          <w:sz w:val="20"/>
        </w:rPr>
        <w:t>та, до переиздания документов (выпуска новых подлинников) или до передачи подлинников другому предприятию *.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1.6. Выпускать ИИ и вносить изменения в подлинники изменяемых документов имеет право только предприятие—держатель подлинников этих документов.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1.7. Изложенные в извещении указания обязательны для всех подразделений предприятия, выпустившего извещение, а также предприятий, применяющих изменяемую документацию.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1.8. Необходимые исправления документов, вызванные внесением ошибочных изменений по ранее вып</w:t>
      </w:r>
      <w:r>
        <w:rPr>
          <w:sz w:val="20"/>
        </w:rPr>
        <w:t>ущенным ИИ, должны оформляться новыми ИИ.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1.9. При необходимости изменения информации, указанной в графах ИИ (кроме графы «Содержание изменения») к нему выпускают дополнительное извещение (ДИ) (приложение 4).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1.10. В копии документов, находящихся в производстве, допускается вносить изменения на основании предварительного извещения (ИИ) (приложение 5).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ПИ имеет право выпускать как предприятие — держатель подлинников, так и предприятие—держатель учтенных копий или дубликатов в случаях, когда необходимо: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испра</w:t>
      </w:r>
      <w:r>
        <w:rPr>
          <w:sz w:val="20"/>
        </w:rPr>
        <w:t>вить в документе ошибку, которая может вызвать брак изделия;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проверить предлагаемые изменения в производстве;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произвести технологическую подготовку производства.</w:t>
      </w:r>
    </w:p>
    <w:p w:rsidR="00000000" w:rsidRDefault="00614052">
      <w:pPr>
        <w:ind w:firstLine="284"/>
        <w:jc w:val="both"/>
        <w:rPr>
          <w:b/>
          <w:sz w:val="20"/>
        </w:rPr>
      </w:pPr>
      <w:r>
        <w:rPr>
          <w:b/>
          <w:sz w:val="20"/>
        </w:rPr>
        <w:t>_________</w:t>
      </w: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Настоящий стандарт распространяется на технологические документы, разработанные в соответствии с Единой системой технологической документации (ЕСТД).</w:t>
      </w: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 xml:space="preserve"> Здесь и далее знаком «*» отмечены пункты, к которым даны комментарии в приложении 1.</w:t>
      </w: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  <w:vertAlign w:val="superscript"/>
        </w:rPr>
        <w:t>3</w:t>
      </w:r>
      <w:r>
        <w:rPr>
          <w:sz w:val="18"/>
        </w:rPr>
        <w:t xml:space="preserve"> Под изделием в настоящем стандарте понимается любая продукция, изготавливаемая по конструкторской, </w:t>
      </w:r>
      <w:r>
        <w:rPr>
          <w:sz w:val="18"/>
        </w:rPr>
        <w:t>технологической и программной документации.</w:t>
      </w: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  <w:vertAlign w:val="superscript"/>
        </w:rPr>
        <w:t>4</w:t>
      </w:r>
      <w:r>
        <w:rPr>
          <w:sz w:val="18"/>
        </w:rPr>
        <w:t xml:space="preserve"> Под заказчиком подразумеваются управления Министерства обороны, по заказам которого ведется разработка документации и производство изделий или по заказам которого поставляются изделия народно-хозяйственного назначения.</w:t>
      </w:r>
    </w:p>
    <w:p w:rsidR="00000000" w:rsidRDefault="00614052">
      <w:pPr>
        <w:ind w:firstLine="284"/>
        <w:jc w:val="both"/>
        <w:rPr>
          <w:sz w:val="18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При обнаружении ошибки допускается немедленно вносить в копии, находящиеся в производстве, необходимые исправления за подписью ответственных лиц с последующим </w:t>
      </w:r>
      <w:r>
        <w:rPr>
          <w:sz w:val="20"/>
        </w:rPr>
        <w:lastRenderedPageBreak/>
        <w:t>выпуском ПИ или ИИ.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1.11. При необходимости изменения информации, указанной в графах ПИ</w:t>
      </w:r>
      <w:r>
        <w:rPr>
          <w:sz w:val="20"/>
        </w:rPr>
        <w:t xml:space="preserve"> (кроме графы «Содержание изменения») к нему выпускают дополнительное извещение (ДПИ) (приложение 6).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1.12. Предложения об изменении (ПР) (приложение 7) рекомендуется оформлять на предприятии—держателе копий на фирмах ИИ и направлять их для дальнейшего оформления предприятию —держателю подлинников.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На основании ПР не допускается изменять документацию и проводить доработку изделия.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1.13. Предприятие—держатель подлинников по всем поступившим от других предприятий ПИ и ПР в течение месяца после их получения об</w:t>
      </w:r>
      <w:r>
        <w:rPr>
          <w:sz w:val="20"/>
        </w:rPr>
        <w:t>язано направить ответ или о принятии предлагаемых изменений, или об их отклонении, с указанием конкретных причин отклонения или задержки предлагаемых изменений.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1.14. Порядок согласования изменений с заказчиком и его представителями изложен в приложении 8.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1.15. Правила учета ИИ, ДИ, ПИ, ДПИ и ПР изложены в приложении 9.</w:t>
      </w:r>
    </w:p>
    <w:p w:rsidR="00000000" w:rsidRDefault="00614052">
      <w:pPr>
        <w:ind w:firstLine="284"/>
        <w:jc w:val="both"/>
        <w:rPr>
          <w:b/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2. ВНЕСЕНИЕ ИЗМЕНЕНИЙ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2.1. Изменения в документы вносят рукописным, машинописным</w:t>
      </w:r>
      <w:r>
        <w:rPr>
          <w:sz w:val="20"/>
          <w:lang w:val="en-US"/>
        </w:rPr>
        <w:t xml:space="preserve"> </w:t>
      </w:r>
      <w:r>
        <w:rPr>
          <w:sz w:val="20"/>
        </w:rPr>
        <w:t>или автоматизированным (машинным) способом.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22. Внесение изменений в документ производят: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зачеркиванием;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</w:t>
      </w:r>
      <w:r>
        <w:rPr>
          <w:sz w:val="20"/>
        </w:rPr>
        <w:t>одчисткой (смывкой);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закрашиванием белым цветом;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введением новых данных;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заменой листов и (или) документов;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введением новых дополнительных листов и (или) документов *.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2.3. После внесения изменений подлинники должны быть пригодны для микрофильмирования (ГОСТ 13.1.002), а дубликаты и копии соответствовать своему назначению по ГОСТ 2.102 *.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2..4. Внесение изменений зачеркиванием размеров, знаков, надписей, отдельных слов и строк производят сплошной тонкой линией с проставлением новой информации в непосредстве</w:t>
      </w:r>
      <w:r>
        <w:rPr>
          <w:sz w:val="20"/>
        </w:rPr>
        <w:t>нной близости от зачеркнутого.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При изменении части изображения его обводят сплошной тонкой линией, образующей замкнутый контур, и крестообразно перечеркивают сплошными тонкими линиями. Измененный участок изображения выполняют на свободном поле документа. Новое изображение измененного участка должно быть выполнено в прежнем масштабе без поворота. Обозначают перечеркнутый и вновь изображенный участки так же как выносные элементы. Над новыми изображениями указывают: «Взамен перечеркнутого».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Если изменяется все</w:t>
      </w:r>
      <w:r>
        <w:rPr>
          <w:sz w:val="20"/>
        </w:rPr>
        <w:t xml:space="preserve"> изображение (вид, разрез или сечение), то его перечеркивают и выполняют заново. Над вновь выполненным изображением, при необходимости, помещают надпись, например: «Вид слева», «Вид снизу».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Допускается вносить изменения в изображение зачеркиванием изменяемого контура короткими штрихами с нанесением нового контура на этом же изображении *.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2.5. Изменение документа, выполненного автоматизированным способом, осуществляют заменой (перевыпуском) всего документа в целом или его отдельных листов (страниц), а также</w:t>
      </w:r>
      <w:r>
        <w:rPr>
          <w:sz w:val="20"/>
        </w:rPr>
        <w:t xml:space="preserve"> добавлением или исключением отдельных листов.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Допускается вносить изменения в эти документы рукописным или машинописным </w:t>
      </w:r>
      <w:proofErr w:type="spellStart"/>
      <w:r>
        <w:rPr>
          <w:sz w:val="20"/>
        </w:rPr>
        <w:t>способом*</w:t>
      </w:r>
      <w:proofErr w:type="spellEnd"/>
      <w:r>
        <w:rPr>
          <w:sz w:val="20"/>
        </w:rPr>
        <w:t>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2.6. Изменение документов, выполненных на магнитных носителях данных, производят по ГОСТ 28388.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2.7. Изменения обозначают порядковыми номерами арабских цифр (1, 2, 3 и т. д.). Один порядковый номер изменения присваивают всем изменениям, которые вносят в документ по одному извещению. Его указывают для всего документа, независимо от того, на скольких листах он </w:t>
      </w:r>
      <w:proofErr w:type="spellStart"/>
      <w:r>
        <w:rPr>
          <w:sz w:val="20"/>
        </w:rPr>
        <w:t>выполнен*</w:t>
      </w:r>
      <w:proofErr w:type="spellEnd"/>
      <w:r>
        <w:rPr>
          <w:sz w:val="20"/>
        </w:rPr>
        <w:t>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3. ИЗВ</w:t>
      </w:r>
      <w:r>
        <w:rPr>
          <w:b/>
          <w:sz w:val="20"/>
        </w:rPr>
        <w:t>ЕЩЕНИЕ ОБ ИЗМЕНЕНИИ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3.1. ИИ составляют на один или несколько документов. Одно ИИ составляют на несколько документов при условии одновременного проведения изменений во все изменяемые </w:t>
      </w:r>
      <w:proofErr w:type="spellStart"/>
      <w:r>
        <w:rPr>
          <w:sz w:val="20"/>
        </w:rPr>
        <w:t>документы*</w:t>
      </w:r>
      <w:proofErr w:type="spellEnd"/>
      <w:r>
        <w:rPr>
          <w:sz w:val="20"/>
        </w:rPr>
        <w:t>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3.2. Каждое ИИ должно иметь обозначение, состоящее из кода предприятия, выпустившего ИИ, и отделенного точкой порядкового регистрационного </w:t>
      </w:r>
      <w:proofErr w:type="spellStart"/>
      <w:r>
        <w:rPr>
          <w:sz w:val="20"/>
        </w:rPr>
        <w:t>номера*</w:t>
      </w:r>
      <w:proofErr w:type="spellEnd"/>
      <w:r>
        <w:rPr>
          <w:sz w:val="20"/>
        </w:rPr>
        <w:t>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3.2.1. Код предприятия-разработчика для обозначения ИИ, выпущенного на технологическую документацию, определяется ГОСТ 3.1201.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3.2.2. Порядковый регистрационный номер об</w:t>
      </w:r>
      <w:r>
        <w:rPr>
          <w:sz w:val="20"/>
        </w:rPr>
        <w:t>означения ИИ устанавливают в пределах предприятия.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3.2.3. Допускается к обозначению ИИ добавлять последние две цифры года выпуска ИИ, отделенные знаком дефис, например, АБВГ.16-89; К.137-89.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3.3. Извещения об изменении при необходимости оформляют в виде комплекта извещений. При этом для всех выпускаемых в комплекте ИИ должен быть одинаков срок внесения изменений.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Каждому ИИ в комплекте присваивают один регистрационный номер с добавлением дробного числа, в числителе которого указывают порядковый номер ИИ в к</w:t>
      </w:r>
      <w:r>
        <w:rPr>
          <w:sz w:val="20"/>
        </w:rPr>
        <w:t>омплекте, в знаменателе — общее число ИИ, например, АБВГ.136.2/6; К.281.1/4-89.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3.4. ИИ выполняют на любом материале, позволяющем многократное снятие с них копий, и заполняют любым способом.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ПРИЛОЖЕНИЕ 1</w:t>
      </w:r>
    </w:p>
    <w:p w:rsidR="00000000" w:rsidRDefault="00614052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Рекомендуемое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КОММЕНТАРИИ К ПУНКТАМ СТАНДАРТА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Пункты 1.2; 1.4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а) При нарушении взаимозаменяемости изменяемого изделия, с изделиями, изготовленными ранее, изменения в документы последних не вносят, а выпускают новые документы с новыми обозначениями или единичные конструкторские документы преобразуют в гр</w:t>
      </w:r>
      <w:r>
        <w:rPr>
          <w:sz w:val="20"/>
        </w:rPr>
        <w:t>упповые по ГОСТ 2.113</w:t>
      </w:r>
      <w:r>
        <w:rPr>
          <w:sz w:val="20"/>
          <w:lang w:val="en-US"/>
        </w:rPr>
        <w:t>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На изделия единичного производства и на опытный образец (опытную партию) допускается не выпускать конструкторские документы с новыми обозначениями, если их применяют не более чем в одном документе.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б) Для программных средств под взаимозаменяемостью следует понимать совместимость с программами и техническими средствами, в среде которых функционировали изменяемые программные средства.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Пункт 1.5.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а) Внесение изменений в копии эксплуатационных и ремонтных конструкторских документов, перед</w:t>
      </w:r>
      <w:r>
        <w:rPr>
          <w:sz w:val="20"/>
        </w:rPr>
        <w:t>анных заказчику или потребителю, производят по ГОСТ 2.603, а в копии программных документов, переданных потребителю,— по ГОСТ 19.603.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б) Изменения, внесенные в подлинник, указывают: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таблице изменений основной надписи по ГОСТ 2.104—для конструкторских документов;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блоке внесения изменений по ГОСТ 3.1103—для технологических документов;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соответствии с ГОСТ 19.603 — для программных документов или в листе регистрации изменений (ЛР) (приложение 3).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документах, не имеющих ЛР, таблицу изменений (блок внесени</w:t>
      </w:r>
      <w:r>
        <w:rPr>
          <w:sz w:val="20"/>
        </w:rPr>
        <w:t>я изменений) заполняют на листах (листе):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первом (заглавном) нового подлинника, изготовленном в целом взамен старого: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измененных;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выпущенных вместо замененных;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добавленных вновь.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документах, имеющих ЛР, заполняют ЛР, а таблицу изменений (блок внесения изменений) заполняют только на листах, выпущенные вместо замененных и добавленных вновь, при этом, при автоматизированном способе внесения изменений, заполняют только ЛР. При замене всех листов подлинника при ручном способе внесения изменений заполняют тольк</w:t>
      </w:r>
      <w:r>
        <w:rPr>
          <w:sz w:val="20"/>
        </w:rPr>
        <w:t>о ЛР, а при автоматизированном—ЛР и таблицу изменений, при ее наличии, на каждом листе нового подлинника.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в) В таблице изменений конструкторских документов (ГОСТ 2.104) указывают: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</w:t>
      </w:r>
      <w:r>
        <w:rPr>
          <w:sz w:val="20"/>
          <w:lang w:val="en-US"/>
        </w:rPr>
        <w:t xml:space="preserve"> </w:t>
      </w:r>
      <w:r>
        <w:rPr>
          <w:sz w:val="20"/>
        </w:rPr>
        <w:t>графе «Изм.» — порядковый номер изменения документа.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При замене подлинника новым очередной порядковый номер проставляют, исходя из последнего номера изменения, указанного в замененном подлиннике;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«Лист» на листах, выпущенных вместо замененных.—«Зам.», на листах, добавленных вновь.—«Нов».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При замене всех листов подлинника</w:t>
      </w:r>
      <w:r>
        <w:rPr>
          <w:sz w:val="20"/>
        </w:rPr>
        <w:t>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1) при ручном внесении изменений на первом (заглавном) листе указывают «Все»;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2) при автоматизированном способе внесения изменений таблицу изменений, при ее наличии, заполняют на каждом листе, при этом в графе «Лист» указывают «Зам».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остальных случаях графу «Лист» прочеркивают;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«№ докум.»</w:t>
      </w:r>
      <w:r>
        <w:rPr>
          <w:sz w:val="20"/>
          <w:lang w:val="en-US"/>
        </w:rPr>
        <w:t xml:space="preserve"> </w:t>
      </w:r>
      <w:r>
        <w:rPr>
          <w:i/>
          <w:sz w:val="20"/>
        </w:rPr>
        <w:t>—</w:t>
      </w:r>
      <w:r>
        <w:rPr>
          <w:sz w:val="20"/>
        </w:rPr>
        <w:t xml:space="preserve"> обозначение ИИ, при этом код предприятия, выпустившего ИИ, допускается не проставлять;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«Подп.» — подпись лица, ответственного за правильность внесения изменения;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«Дата» — дату внесения изменен</w:t>
      </w:r>
      <w:r>
        <w:rPr>
          <w:sz w:val="20"/>
        </w:rPr>
        <w:t>ия.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Графы блока внесения изменений технологических документов (ГОСТ 3.1103) заполняют аналогично основной надписи конструкторских документов.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г) ИИ об аннулировании документов выпускают после проверки возможности исключения их применяемости в других документах.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На всех аннулированных листах подлинника и контрольной копии проставляют штамп «Аннулирован, заменен ............. извещение ..... от ................... г.».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Если аннулирование производится без замены, слово «заменен» в штампе зачеркивают.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Допускает</w:t>
      </w:r>
      <w:r>
        <w:rPr>
          <w:sz w:val="20"/>
        </w:rPr>
        <w:t>ся при аннулировании всех листов документа, изданного типографским способом, или копий документов, сброшюрованных в альбом, штамп «Аннулирован, заменен ............. извещение ..... от ............... г.» проставлять только на титульном</w:t>
      </w:r>
      <w:r>
        <w:rPr>
          <w:smallCaps/>
          <w:sz w:val="20"/>
        </w:rPr>
        <w:t xml:space="preserve"> </w:t>
      </w:r>
      <w:r>
        <w:rPr>
          <w:sz w:val="20"/>
        </w:rPr>
        <w:t xml:space="preserve">и первом (заглавном) листе. 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Пункт 2.2.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Изменения в копии вносят заменой старых копий новыми, снятыми с подлинников, исправленных по извещению. В случае нецелесообразности замены копий допускается исправлять их черными тушью, чернилами или пастой по правилам, установленным д</w:t>
      </w:r>
      <w:r>
        <w:rPr>
          <w:sz w:val="20"/>
        </w:rPr>
        <w:t>ля подлинников. Внесение изменений</w:t>
      </w:r>
      <w:r>
        <w:rPr>
          <w:sz w:val="20"/>
          <w:lang w:val="en-US"/>
        </w:rPr>
        <w:t xml:space="preserve"> </w:t>
      </w:r>
      <w:r>
        <w:rPr>
          <w:sz w:val="20"/>
        </w:rPr>
        <w:t>в копии подчисткой не допускается. О необходимости исправления копий указывают в графе «Содержание изменения» извещения: «Копии исправить».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Изменения в контрольные копии (при их наличии) вносят зачеркиванием одновременно с внесением изменений в подлинники. Допускается замена контрольных копий новыми. В случае замены контрольной копии на ней делают надпись по примеру: «Замена новой контрольной копией, изм. 2 извещение АБВГ.837—89» и проставляют подпись ответственного лица с</w:t>
      </w:r>
      <w:r>
        <w:rPr>
          <w:sz w:val="20"/>
        </w:rPr>
        <w:t xml:space="preserve"> указанием даты замены копии. Замененную контрольную копию допускается хранить вместе с новой.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Пункты 2.3 и 2.4.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Если недостаточно места для внесения изменений или возможно нарушение четкого изображения при исправлении, или невозможно выполнить</w:t>
      </w:r>
      <w:r>
        <w:rPr>
          <w:sz w:val="20"/>
          <w:lang w:val="en-US"/>
        </w:rPr>
        <w:t xml:space="preserve"> </w:t>
      </w:r>
      <w:r>
        <w:rPr>
          <w:sz w:val="20"/>
        </w:rPr>
        <w:t>требования к микрофильмированию, то изготовляют новый подлинник с учетом вносимых изменений и сохраняют его прежнее обозначение.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Пункты 2.4 и 2.5.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При добавлении нового листа документа допускается присваивать ему номер предыдущего листа с добавлением очередной строчн</w:t>
      </w:r>
      <w:r>
        <w:rPr>
          <w:sz w:val="20"/>
        </w:rPr>
        <w:t>ой буквы</w:t>
      </w:r>
      <w:r>
        <w:rPr>
          <w:sz w:val="20"/>
          <w:lang w:val="en-US"/>
        </w:rPr>
        <w:t xml:space="preserve"> </w:t>
      </w:r>
      <w:r>
        <w:rPr>
          <w:sz w:val="20"/>
        </w:rPr>
        <w:t>русского алфавита или через точку арабской цифры, например 3а или 3.1. При этом на первом (заглавном) листе изменяют общее количество листов.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текстовых документах, содержащих в основном сплошной текст, допускается при добавлении нового пункта (раздела, подраздела, подпункта), таблицы, графического материала присваивать им номер предыдущего пункта (раздела, подраздела, подпункта), таблицы, графического материала с добавлением очередной строчной буквы русского алфавита; при аннулировании пункта (ра</w:t>
      </w:r>
      <w:r>
        <w:rPr>
          <w:sz w:val="20"/>
        </w:rPr>
        <w:t>здела, подраздела, подпункта), таблицы, графического материала сохраняют номера последующих пунктов (раздела, подраздела, подпункта), таблиц, графических материалов.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При необходимости замены отдельных страниц копий документов выполненных способом двухстороннего светокопирования, заменяют полностью листы. 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Пункт 27. 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При внесении изменений рукописным способом около каждого изменения, в том числе около места, исправленного подчисткой (смывкой) или закрашиванием белым цветом, за пределами изображения или текст</w:t>
      </w:r>
      <w:r>
        <w:rPr>
          <w:sz w:val="20"/>
        </w:rPr>
        <w:t>а наносят порядковый номер изменения в окружности диаметром 6—12 мм, в квадрате со стороной 6—8 мм или в скобках и от этой окружности (квадрата, скобок) проводят сплошную тонкую линию к измененному участку.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Допускается от окружности (квадрата, скобок) с номером изменения проводить несколько линий к участкам, изменение которых проведено под одним номером.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Допускается от окружности (квадрата, скобок) с номером изменения линию к изменяемому участку не проводить.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При внесении изменений в текстовые документы (в </w:t>
      </w:r>
      <w:r>
        <w:rPr>
          <w:sz w:val="20"/>
        </w:rPr>
        <w:t>текстовую часть документов) линии от окружности (квадрата, скобок) с номером изменения не проводят.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Пункт 3.1.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При составлении одного ИИ на несколько документов желательно, чтобы у этих документов были одинаковые внешние абоненты.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Пункт 3.2.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При необходимости обозначение ИИ может состоять из кода предприятия, отделенного точкой кода (номера) подразделения предприятия, выпустившего ИИ и отделенного точкой порядкового регистрационного номера, например, АБВГ.42.107; К.05.49. Регистрационные номера допускается </w:t>
      </w:r>
      <w:r>
        <w:rPr>
          <w:sz w:val="20"/>
        </w:rPr>
        <w:t>присваивать в пределах подразделения предприятия, выпустившего ИИ.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случае, если ИИ не рассылают внешним абонентам, то порядок присвоения ему обозначения допускается устанавливать самому предприятию, выпустившему ИИ.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right"/>
        <w:rPr>
          <w:sz w:val="20"/>
        </w:rPr>
      </w:pPr>
      <w:r>
        <w:rPr>
          <w:i/>
          <w:sz w:val="20"/>
        </w:rPr>
        <w:t>ПРИЛОЖЕНИЕ 2</w:t>
      </w:r>
    </w:p>
    <w:p w:rsidR="00000000" w:rsidRDefault="00614052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Рекомендуемое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ФОРМЫ ИЗВЕЩЕНИЯ ОБ ИЗМЕНЕНИИ И ЖУРНАЛА </w:t>
      </w: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ИЗМЕНЕНИЙ И ПРАВИЛА ИХ ЗАПОЛНЕНИИ</w:t>
      </w:r>
    </w:p>
    <w:p w:rsidR="00000000" w:rsidRDefault="00614052">
      <w:pPr>
        <w:ind w:firstLine="284"/>
        <w:jc w:val="center"/>
        <w:rPr>
          <w:sz w:val="20"/>
        </w:rPr>
      </w:pPr>
    </w:p>
    <w:p w:rsidR="00000000" w:rsidRDefault="00614052">
      <w:pPr>
        <w:ind w:firstLine="284"/>
        <w:jc w:val="center"/>
        <w:rPr>
          <w:i/>
          <w:sz w:val="20"/>
        </w:rPr>
      </w:pPr>
      <w:r>
        <w:rPr>
          <w:i/>
          <w:sz w:val="20"/>
        </w:rPr>
        <w:t>1. Извещение об изменении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1.1. ИИ выполняют на формах 1 и 1а на листах формата А5, А4, A3 по ГОСТ 2.301 или по ГОСТ 2.004.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1.2. Заполнение граф извещения об изменении.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ИИ указывают: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</w:t>
      </w:r>
      <w:r>
        <w:rPr>
          <w:sz w:val="20"/>
        </w:rPr>
        <w:t>афе 1 — краткое наименование предприятия, выпускающего извещение.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Допускается графу не заполнять;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</w:t>
      </w:r>
      <w:r>
        <w:rPr>
          <w:sz w:val="20"/>
          <w:lang w:val="en-US"/>
        </w:rPr>
        <w:t xml:space="preserve"> la—</w:t>
      </w:r>
      <w:r>
        <w:rPr>
          <w:sz w:val="20"/>
        </w:rPr>
        <w:t>номер или краткое наименование подразделения предприятия, выпускающего ИИ;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2—обозначение ИИ;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3—обозначение изменяемого документа (документов);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4 — дату сдачи ИИ в службу технической документации (СТД) предприятия;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5 —дату (при необходимости, время суток), до наступления которой должны быть внесены изменения в документы или документы должны быть аннулированы, а также от</w:t>
      </w:r>
      <w:r>
        <w:rPr>
          <w:sz w:val="20"/>
        </w:rPr>
        <w:t>осланы копии извещения внешним абонентам. (Дополнительные пояснения к заполнению графы см. п. 1.3);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графах 6, 7 — дополнительную информацию по усмотрению составителя ИИ;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8—порядковый номер листа ИИ. Если ИИ состоит из одного листа, графу не заполняют;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9 — общее количество листов ИИ;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10 — конкретную причину изменений;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11 — код причины изменения (коды причин изменений приведены в таблице). Допускается код причины изменения не указывать. В этом случае графу прочеркивают;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</w:t>
      </w:r>
      <w:r>
        <w:rPr>
          <w:sz w:val="20"/>
        </w:rPr>
        <w:t>фе 12—конкретные оказания по использованию задела изменяемых изделий (в том числе запасных частей). (Дополнительные пояснения к заполнению графы см п. 1.3);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Коды причин изменений</w:t>
      </w:r>
    </w:p>
    <w:p w:rsidR="00000000" w:rsidRDefault="00614052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Причина изменения</w:t>
            </w:r>
          </w:p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причины изменения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Введение улучшений и усовершенствований: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>конструктивных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>технологических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>в результате стандартизации и унификации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Внедрение и изменение стандартов и технических условий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 результатам испытаний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Отработка документов с изменением литеры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Устранение ошибок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Улучшение каче</w:t>
            </w:r>
            <w:r>
              <w:rPr>
                <w:sz w:val="20"/>
              </w:rPr>
              <w:t>ства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Требования заказчика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Улучшение схемы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Улучшение электрического монтажа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Изменение средств технологического оснащения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Изменение условий труда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Введение новых технологических процессов (операций)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Замена исходной заготовки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норм расхода материалов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>Примечания:</w:t>
      </w: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>1. Допускается к однозначным цифрам добавлять слева ноль, например 01; 02 и т.д.</w:t>
      </w: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>2. При необходимости, по усмотрению предприятия, могут указываться другие причины изменения и их коды.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13—заводские ном</w:t>
      </w:r>
      <w:r>
        <w:rPr>
          <w:sz w:val="20"/>
        </w:rPr>
        <w:t>ера изделий, номера серий, заказов или дату внедрения изменений в производство. При необходимости внесения изменений в копии эксплуатационных документов, находящихся у заказчика (потребителя) (ГОСТ 2.603), в графе указывают: «Требуется выпустить бюллетень», а при необходимости создания страхового фонда документов—«Документы требуется микрофильмировать». При отсутствии указаний о внедрении графу прочеркивают. (Дополнительные пояснения по заполнению графы см. п. 1.3);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14 — обозначение документов, в ко</w:t>
      </w:r>
      <w:r>
        <w:rPr>
          <w:sz w:val="20"/>
        </w:rPr>
        <w:t>торых применяется изменяемый документ. Для конструкторских документов данные о применяемости приведены в карточке учета (ГОСТ 2.501), а для технологических — в карточке</w:t>
      </w:r>
      <w:r>
        <w:rPr>
          <w:sz w:val="20"/>
          <w:lang w:val="en-US"/>
        </w:rPr>
        <w:t xml:space="preserve"> </w:t>
      </w:r>
      <w:r>
        <w:rPr>
          <w:sz w:val="20"/>
        </w:rPr>
        <w:t>учета применяемости (ГОСТ 3.1201). (Дополнительные пояснения по заполнению графы см. п. 1.3);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15—абоненты, которым следует направлять ИИ;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right"/>
        <w:rPr>
          <w:sz w:val="20"/>
        </w:rPr>
      </w:pPr>
      <w:r>
        <w:rPr>
          <w:sz w:val="20"/>
        </w:rPr>
        <w:t>Форма  1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center"/>
        <w:rPr>
          <w:sz w:val="20"/>
        </w:rPr>
      </w:pPr>
      <w:r>
        <w:rPr>
          <w:b/>
          <w:sz w:val="20"/>
        </w:rPr>
        <w:t>ИЗВЕЩЕНИЕ ОБ ИЗМЕНЕНИИ</w:t>
      </w:r>
    </w:p>
    <w:p w:rsidR="00000000" w:rsidRDefault="00614052">
      <w:pPr>
        <w:ind w:firstLine="284"/>
        <w:jc w:val="center"/>
        <w:rPr>
          <w:sz w:val="20"/>
        </w:rPr>
      </w:pPr>
      <w:r>
        <w:rPr>
          <w:sz w:val="20"/>
        </w:rPr>
        <w:t>(первый или заглавный лист)</w:t>
      </w:r>
    </w:p>
    <w:p w:rsidR="00000000" w:rsidRDefault="00614052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53"/>
        <w:gridCol w:w="354"/>
        <w:gridCol w:w="550"/>
        <w:gridCol w:w="541"/>
        <w:gridCol w:w="416"/>
        <w:gridCol w:w="958"/>
        <w:gridCol w:w="1080"/>
        <w:gridCol w:w="1011"/>
        <w:gridCol w:w="1134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la</w:t>
            </w:r>
          </w:p>
        </w:tc>
        <w:tc>
          <w:tcPr>
            <w:tcW w:w="2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  <w:p w:rsidR="00000000" w:rsidRDefault="00614052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284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:rsidR="00000000" w:rsidRDefault="00614052">
            <w:pPr>
              <w:ind w:firstLine="99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ВЫПУСКА</w:t>
            </w:r>
          </w:p>
          <w:p w:rsidR="00000000" w:rsidRDefault="00614052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 ИЗМ.</w:t>
            </w:r>
          </w:p>
          <w:p w:rsidR="00000000" w:rsidRDefault="00614052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84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000000" w:rsidRDefault="00614052">
            <w:pPr>
              <w:ind w:firstLine="84"/>
              <w:jc w:val="bot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84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000000" w:rsidRDefault="00614052">
            <w:pPr>
              <w:ind w:firstLine="84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Лист </w:t>
            </w:r>
          </w:p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Листов</w:t>
            </w:r>
          </w:p>
          <w:p w:rsidR="00000000" w:rsidRDefault="00614052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</w:p>
          <w:p w:rsidR="00000000" w:rsidRDefault="00614052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</w:rPr>
              <w:t>4а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</w:rPr>
              <w:t>5а</w:t>
            </w:r>
          </w:p>
          <w:p w:rsidR="00000000" w:rsidRDefault="00614052">
            <w:pPr>
              <w:ind w:firstLine="102"/>
              <w:jc w:val="bot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</w:p>
        </w:tc>
        <w:tc>
          <w:tcPr>
            <w:tcW w:w="1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ПРИЧИНА</w:t>
            </w:r>
          </w:p>
        </w:tc>
        <w:tc>
          <w:tcPr>
            <w:tcW w:w="3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000000" w:rsidRDefault="00614052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УКАЗАНИЕ О ЗАДЕЛ</w:t>
            </w:r>
            <w:r>
              <w:rPr>
                <w:sz w:val="20"/>
              </w:rPr>
              <w:t>Е</w:t>
            </w:r>
          </w:p>
        </w:tc>
        <w:tc>
          <w:tcPr>
            <w:tcW w:w="5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000000" w:rsidRDefault="00614052">
            <w:pPr>
              <w:ind w:firstLine="102"/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5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</w:rPr>
              <w:t>12а</w:t>
            </w:r>
          </w:p>
          <w:p w:rsidR="00000000" w:rsidRDefault="00614052">
            <w:pPr>
              <w:ind w:firstLine="102"/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УКАЗАНИЕ О </w:t>
            </w:r>
          </w:p>
        </w:tc>
        <w:tc>
          <w:tcPr>
            <w:tcW w:w="5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000000" w:rsidRDefault="00614052">
            <w:pPr>
              <w:ind w:firstLine="102"/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ВНЕДРЕНИИ</w:t>
            </w:r>
          </w:p>
        </w:tc>
        <w:tc>
          <w:tcPr>
            <w:tcW w:w="5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</w:rPr>
              <w:t>13а</w:t>
            </w:r>
          </w:p>
          <w:p w:rsidR="00000000" w:rsidRDefault="00614052">
            <w:pPr>
              <w:ind w:firstLine="102"/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ПРИМЕНЯЕМОСТЬ</w:t>
            </w:r>
          </w:p>
        </w:tc>
        <w:tc>
          <w:tcPr>
            <w:tcW w:w="5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</w:p>
          <w:p w:rsidR="00000000" w:rsidRDefault="00614052">
            <w:pPr>
              <w:ind w:firstLine="102"/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РАЗОСЛАТЬ</w:t>
            </w:r>
          </w:p>
        </w:tc>
        <w:tc>
          <w:tcPr>
            <w:tcW w:w="5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000000" w:rsidRDefault="00614052">
            <w:pPr>
              <w:ind w:firstLine="102"/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</w:p>
          <w:p w:rsidR="00000000" w:rsidRDefault="00614052">
            <w:pPr>
              <w:jc w:val="both"/>
              <w:rPr>
                <w:sz w:val="20"/>
              </w:rPr>
            </w:pPr>
          </w:p>
        </w:tc>
        <w:tc>
          <w:tcPr>
            <w:tcW w:w="5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000000" w:rsidRDefault="00614052">
            <w:pPr>
              <w:ind w:firstLine="102"/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ИЗМ. </w:t>
            </w:r>
          </w:p>
          <w:p w:rsidR="00000000" w:rsidRDefault="00614052">
            <w:pPr>
              <w:jc w:val="both"/>
              <w:rPr>
                <w:sz w:val="20"/>
              </w:rPr>
            </w:pPr>
          </w:p>
        </w:tc>
        <w:tc>
          <w:tcPr>
            <w:tcW w:w="66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ИЗМЕНЕНИЯ</w:t>
            </w:r>
          </w:p>
          <w:p w:rsidR="00000000" w:rsidRDefault="00614052">
            <w:pPr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</w:p>
          <w:p w:rsidR="00000000" w:rsidRDefault="00614052">
            <w:pPr>
              <w:jc w:val="both"/>
              <w:rPr>
                <w:sz w:val="20"/>
              </w:rPr>
            </w:pPr>
          </w:p>
        </w:tc>
        <w:tc>
          <w:tcPr>
            <w:tcW w:w="66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120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000000" w:rsidRDefault="00614052">
            <w:pPr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 / ______ / __________________________________________________</w:t>
            </w:r>
          </w:p>
          <w:p w:rsidR="00000000" w:rsidRDefault="00614052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 / ______ / __________________________________________________</w:t>
            </w:r>
          </w:p>
          <w:p w:rsidR="00000000" w:rsidRDefault="00614052">
            <w:pPr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СОСТАВИЛ</w:t>
            </w:r>
          </w:p>
          <w:p w:rsidR="00000000" w:rsidRDefault="00614052">
            <w:pPr>
              <w:ind w:firstLine="10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ind w:firstLine="57"/>
              <w:rPr>
                <w:sz w:val="20"/>
              </w:rPr>
            </w:pPr>
            <w:r>
              <w:rPr>
                <w:sz w:val="20"/>
              </w:rPr>
              <w:t xml:space="preserve"> 20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rPr>
                <w:sz w:val="20"/>
              </w:rPr>
            </w:pPr>
            <w:r>
              <w:rPr>
                <w:sz w:val="20"/>
              </w:rPr>
              <w:t xml:space="preserve">  21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ind w:firstLine="31"/>
              <w:rPr>
                <w:sz w:val="20"/>
              </w:rPr>
            </w:pPr>
            <w:r>
              <w:rPr>
                <w:sz w:val="20"/>
              </w:rPr>
              <w:t xml:space="preserve">  22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H.</w:t>
            </w:r>
            <w:r>
              <w:rPr>
                <w:sz w:val="20"/>
              </w:rPr>
              <w:t xml:space="preserve"> КОНТР </w:t>
            </w:r>
            <w:proofErr w:type="spellStart"/>
            <w:r>
              <w:rPr>
                <w:sz w:val="20"/>
              </w:rPr>
              <w:t>ПР.ЗАК</w:t>
            </w:r>
            <w:proofErr w:type="spellEnd"/>
            <w:r>
              <w:rPr>
                <w:sz w:val="20"/>
              </w:rPr>
              <w:t xml:space="preserve">. </w:t>
            </w:r>
          </w:p>
          <w:p w:rsidR="00000000" w:rsidRDefault="00614052">
            <w:pPr>
              <w:ind w:firstLine="9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rPr>
                <w:sz w:val="20"/>
              </w:rPr>
            </w:pPr>
          </w:p>
          <w:p w:rsidR="00000000" w:rsidRDefault="00614052">
            <w:pPr>
              <w:rPr>
                <w:sz w:val="20"/>
              </w:rPr>
            </w:pPr>
          </w:p>
          <w:p w:rsidR="00000000" w:rsidRDefault="00614052">
            <w:pPr>
              <w:rPr>
                <w:sz w:val="20"/>
              </w:rPr>
            </w:pPr>
            <w:r>
              <w:rPr>
                <w:sz w:val="20"/>
              </w:rPr>
              <w:t xml:space="preserve">  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rPr>
                <w:sz w:val="20"/>
              </w:rPr>
            </w:pPr>
          </w:p>
          <w:p w:rsidR="00000000" w:rsidRDefault="00614052">
            <w:pPr>
              <w:rPr>
                <w:sz w:val="20"/>
              </w:rPr>
            </w:pPr>
          </w:p>
          <w:p w:rsidR="00000000" w:rsidRDefault="00614052">
            <w:pPr>
              <w:rPr>
                <w:sz w:val="20"/>
              </w:rPr>
            </w:pPr>
            <w:r>
              <w:rPr>
                <w:sz w:val="20"/>
              </w:rPr>
              <w:t xml:space="preserve">  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rPr>
                <w:sz w:val="20"/>
              </w:rPr>
            </w:pPr>
          </w:p>
          <w:p w:rsidR="00000000" w:rsidRDefault="00614052">
            <w:pPr>
              <w:rPr>
                <w:sz w:val="20"/>
              </w:rPr>
            </w:pPr>
          </w:p>
          <w:p w:rsidR="00000000" w:rsidRDefault="00614052">
            <w:pPr>
              <w:rPr>
                <w:sz w:val="20"/>
              </w:rPr>
            </w:pPr>
            <w:r>
              <w:rPr>
                <w:sz w:val="20"/>
              </w:rPr>
              <w:t xml:space="preserve">  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ИЗМЕНЕНИЕ ВНЕС                                         23</w:t>
            </w: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</w:tc>
      </w:tr>
    </w:tbl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>Примечания:</w:t>
      </w: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 xml:space="preserve">1. ИИ выполняют на листах формата А5, А4 или A3 по </w:t>
      </w:r>
      <w:r>
        <w:rPr>
          <w:sz w:val="18"/>
        </w:rPr>
        <w:t>ГОСТ</w:t>
      </w:r>
      <w:r>
        <w:rPr>
          <w:sz w:val="18"/>
          <w:lang w:val="en-US"/>
        </w:rPr>
        <w:t xml:space="preserve"> 2.30</w:t>
      </w:r>
      <w:r>
        <w:rPr>
          <w:sz w:val="18"/>
        </w:rPr>
        <w:t>1 или ГОСТ 2.004 с вертикальным или горизонтальным расположением листа. Допускается последующий лист ИИ выполнять на любых других форматах.</w:t>
      </w: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>2 .Размеры граф ИИ определяет предприятие, его выпустившее.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right"/>
        <w:rPr>
          <w:sz w:val="20"/>
        </w:rPr>
      </w:pPr>
      <w:r>
        <w:rPr>
          <w:sz w:val="20"/>
        </w:rPr>
        <w:t>Форма 1а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ИЗВЕЩЕНИЕ ОБ ИЗМЕНЕНИИ</w:t>
      </w:r>
    </w:p>
    <w:p w:rsidR="00000000" w:rsidRDefault="00614052">
      <w:pPr>
        <w:ind w:firstLine="284"/>
        <w:jc w:val="center"/>
        <w:rPr>
          <w:sz w:val="20"/>
        </w:rPr>
      </w:pPr>
      <w:r>
        <w:rPr>
          <w:sz w:val="20"/>
        </w:rPr>
        <w:t>(последующие листы)</w:t>
      </w:r>
    </w:p>
    <w:p w:rsidR="00000000" w:rsidRDefault="00614052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295"/>
        <w:gridCol w:w="1984"/>
        <w:gridCol w:w="26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102"/>
              <w:jc w:val="center"/>
              <w:rPr>
                <w:sz w:val="20"/>
              </w:rPr>
            </w:pPr>
            <w:r>
              <w:rPr>
                <w:sz w:val="20"/>
              </w:rPr>
              <w:t>ИЗВЕЩЕНИЕ 2</w:t>
            </w: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ЛИСТ </w:t>
            </w: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ИЗМ.</w:t>
            </w: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ИЗМЕНЕНИЯ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6946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95" w:type="dxa"/>
            <w:tcBorders>
              <w:bottom w:val="single" w:sz="6" w:space="0" w:color="auto"/>
            </w:tcBorders>
          </w:tcPr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</w:tcPr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66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ind w:firstLine="284"/>
              <w:jc w:val="both"/>
              <w:rPr>
                <w:sz w:val="20"/>
              </w:rPr>
            </w:pPr>
          </w:p>
        </w:tc>
      </w:tr>
    </w:tbl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16 — количество листов приложений. При отсутствии приложений графу прочеркивают. (Дополнительные пояснения по запо</w:t>
      </w:r>
      <w:r>
        <w:rPr>
          <w:sz w:val="20"/>
        </w:rPr>
        <w:t>лнению графы см. п. 1.3);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17 — очередной порядковый номер изменения. (Дополнительные пояснения по заполнению графы см. п. 1.3);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18 — содержание изменения. (Дополнительные пояснения по заполнению графы см. п. 1.3);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графах 19—22 — выполняемая функция (должность) лиц, подписывающих ИИ, их фамилии, подписи и дата подписания. Подписи составившего ИИ, нормоконтролера и представителя заказчика (при его наличии) являются обязательными. (Дополнительные пояснения по заполнению граф см. п. 1.3);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</w:t>
      </w:r>
      <w:r>
        <w:rPr>
          <w:sz w:val="20"/>
        </w:rPr>
        <w:t>афе 23 — подпись лица, внесшего изменения в документ (документы), и дату внесения изменений. (Дополнительные пояснения по заполнению графы см. п. 1.3).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1.3. Дополнительные пояснения по заполнению граф ИИ 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Графа 5.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Данная дата определяется требуемыми сроками внесения изменений в обращающиеся на предприятии документы и отсылки ИИ другим предприятиям, при этом учитывают сроки внесения изменений в производство и сроки прохождения извещений.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Графа 12.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Под заделом изменяемых изделий, указываемых в данной графе, п</w:t>
      </w:r>
      <w:r>
        <w:rPr>
          <w:sz w:val="20"/>
        </w:rPr>
        <w:t>онимают все полностью или частично изготовленные, но не реализованные изделия, выполненные по документам до внесения в них изменений по данному ИИ.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дают указания, например: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«Не отражается»—если изменения не отражаются на конструкции изделия и не влияют на использование задела;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«Не использовать»—при недопустимости использования или невозможности доработки задела;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«Использовать» или «Использовать на 5 комплектов»—при использовании задела без учета вносимых изменений;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«Доработать» или «Использовать с д</w:t>
      </w:r>
      <w:r>
        <w:rPr>
          <w:sz w:val="20"/>
        </w:rPr>
        <w:t>ополнительным сверлением 2 отв</w:t>
      </w:r>
      <w:r>
        <w:rPr>
          <w:smallCaps/>
          <w:sz w:val="20"/>
        </w:rPr>
        <w:t xml:space="preserve">. </w:t>
      </w:r>
      <w:r>
        <w:rPr>
          <w:smallCaps/>
          <w:sz w:val="20"/>
        </w:rPr>
        <w:sym w:font="Symbol" w:char="F0C6"/>
      </w:r>
      <w:r>
        <w:rPr>
          <w:smallCaps/>
          <w:sz w:val="20"/>
        </w:rPr>
        <w:t xml:space="preserve"> </w:t>
      </w:r>
      <w:r>
        <w:rPr>
          <w:sz w:val="20"/>
        </w:rPr>
        <w:t>3,5 Н12»—если задел может быть использован с дополнительной доработкой;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«Изменение в заделе учтено» или «Задела нет»—если известно, что задел изделий изготовлен с учетом проводимого изменения или задел отсутствует;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«Доработать: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АБВГ—с третьего комплекта;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ЕЖЗК—с первого комплекта;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АКЛМ—задел использовать»—если указания о заделе не однозначны для всех предприятий.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Графа 13. 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дают указания, например: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«Предприятию АБВГ внедрить в производство с изделия 007» — если</w:t>
      </w:r>
      <w:r>
        <w:rPr>
          <w:sz w:val="20"/>
        </w:rPr>
        <w:t xml:space="preserve"> изделие изготовляют одновременно на нескольких предприятиях;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«Срок внедрения изменений в производство устанавливается предприятием»—если предприятие, выпускающее ИИ, не может установить наличия и состояния задела изделий, технологической оснастки и другие производственные условия на других предприятиях, изготавливающих данное изделие.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При наличии на предприятии графика технологической подготовки производства (ТПП), в графе дают ссылку на этот график, например «По графику ТПП».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Если в графе 12 ИИ («Указание</w:t>
      </w:r>
      <w:r>
        <w:rPr>
          <w:sz w:val="20"/>
        </w:rPr>
        <w:t xml:space="preserve"> о заделе») записано: «Не отражается». «Изменение в заделе учтено» или «Задела нет», то графу прочеркивают. 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Графа 14.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Если изменения не относятся к документам, в которых применяется изменяемый документ, например в случае изменения литеры документов, то в графе делают запись «На применяемости не отражается» или графу прочеркивают.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Графа 16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При наличии приложений они могут содержать, например, копии изменяемых документов с внесенными в них изменениями, необходимые расчеты и пояснения, подтверждающие целесооб</w:t>
      </w:r>
      <w:r>
        <w:rPr>
          <w:sz w:val="20"/>
        </w:rPr>
        <w:t>разность вносимых изменений и т. п.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Графа 17.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При составлении ИИ на несколько документов в случае несовпадения порядковых номеров изменений общие заголовки с обозначениями документов группируются по совпадающим порядковым номерам изменения, при этом порядковые номера проставляют раздельно по каждой группе, например: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jc w:val="center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185.25pt">
            <v:imagedata r:id="rId4" o:title=""/>
          </v:shape>
        </w:pict>
      </w:r>
    </w:p>
    <w:p w:rsidR="00000000" w:rsidRDefault="00614052">
      <w:pPr>
        <w:jc w:val="center"/>
        <w:rPr>
          <w:sz w:val="24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При составлении ИИ на несколько документов, имеющих одинаковые изменения, при несовпадении порядковых номеров изменений документов в графе 18 составляют таблицу, а графу 17 прочеркивают, нап</w:t>
      </w:r>
      <w:r>
        <w:rPr>
          <w:sz w:val="20"/>
        </w:rPr>
        <w:t>ример: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jc w:val="center"/>
      </w:pPr>
      <w:r>
        <w:rPr>
          <w:sz w:val="20"/>
        </w:rPr>
        <w:object w:dxaOrig="16320" w:dyaOrig="6600">
          <v:shape id="_x0000_i1026" type="#_x0000_t75" style="width:408pt;height:165pt" o:ole="">
            <v:imagedata r:id="rId5" o:title=""/>
          </v:shape>
          <o:OLEObject Type="Embed" ProgID="MSPhotoEd.3" ShapeID="_x0000_i1026" DrawAspect="Content" ObjectID="_1427197720" r:id="rId6"/>
        </w:object>
      </w:r>
    </w:p>
    <w:p w:rsidR="00000000" w:rsidRDefault="00614052">
      <w:pPr>
        <w:jc w:val="center"/>
      </w:pPr>
    </w:p>
    <w:p w:rsidR="00000000" w:rsidRDefault="00614052">
      <w:pPr>
        <w:jc w:val="center"/>
        <w:rPr>
          <w:sz w:val="20"/>
        </w:rPr>
      </w:pPr>
      <w:r>
        <w:rPr>
          <w:sz w:val="20"/>
        </w:rPr>
        <w:t>ИЛИ</w:t>
      </w:r>
    </w:p>
    <w:p w:rsidR="00000000" w:rsidRDefault="00614052">
      <w:pPr>
        <w:jc w:val="center"/>
        <w:rPr>
          <w:sz w:val="20"/>
        </w:rPr>
      </w:pPr>
    </w:p>
    <w:p w:rsidR="00000000" w:rsidRDefault="00614052">
      <w:pPr>
        <w:jc w:val="center"/>
      </w:pPr>
      <w:r>
        <w:rPr>
          <w:sz w:val="20"/>
        </w:rPr>
        <w:pict>
          <v:shape id="_x0000_i1027" type="#_x0000_t75" style="width:403.5pt;height:236.25pt">
            <v:imagedata r:id="rId7" o:title=""/>
          </v:shape>
        </w:pict>
      </w:r>
    </w:p>
    <w:p w:rsidR="00000000" w:rsidRDefault="00614052">
      <w:pPr>
        <w:jc w:val="center"/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Графы 17 и 18.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При внесении изменений в документы, содержащие текст, разбитый на графы, в целях оптимизации записи содержания текста изменения, допускается взамен этих граф применять таблицы или блоки информации с соответствующей логически расположенной указательной информацией, например: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«Изм.»;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«Обозначение»;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«Лист»;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«Строка»;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«Графа».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При применении блоков информации, по аналогии с принципом построения, принятым в формах документов ЕСТД, в целях оперативного вызова </w:t>
      </w:r>
      <w:r>
        <w:rPr>
          <w:sz w:val="20"/>
        </w:rPr>
        <w:t>информации с машинного носителя, допускается применять служебные символы, принятые на предприятии.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Графа 18.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а) В графе указывают содержание изменяемого участка (графического, текстового и т.д.) в том виде, в котором он должен быть после внесения изменений в подлинник документа.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б) При выпуске ИИ на несколько документов содержание изменения по каждому документу отделяют горизонтальной линией.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в) При возможности неоднозначного понимания изменения, внесении изменений в подлинники подчисткой (смывкой), необход</w:t>
      </w:r>
      <w:r>
        <w:rPr>
          <w:sz w:val="20"/>
        </w:rPr>
        <w:t>имости выпуска бюллетеня по ГОСТ 2.603 или ГОСТ 19.603 приводят содержание изменяемого участка документа до и после внесения изменений с указаниями над ними «Имеется» и «Должно быть».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г) Если изменение необходимо произвести в подлиннике подчисткой (смывкой) над изменяемыми участками помещают надпись: «Изменение произвести подчисткой» или «Изменение произвести смывкой», при этом допускается при изменении буквенных и цифровых данных (маркировка проводов, буквенные и позиционные обозначения элементов на схемах</w:t>
      </w:r>
      <w:r>
        <w:rPr>
          <w:sz w:val="20"/>
        </w:rPr>
        <w:t>, изменения в табличных документах и т.д.) приводить изменяемые данные и новые данные, например: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д) При аннулировании документа в графе делают надпись, например, «АБВГ.ХХХХХХ.018 аннулировать» Графу 17 при этом прочерчивают.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е) Допускается для изделий народнохозяйственного назначения при присвоении комплекту документов очередной литеры указывать обозначение, например, спецификации изделия без перечисления обозначения всех спецификаций составных частей данного изделия и входящих в них документов по примеру «</w:t>
      </w:r>
      <w:r>
        <w:rPr>
          <w:sz w:val="20"/>
        </w:rPr>
        <w:t>В АБВГ.ХХХХХХ.375 и во всех спецификациях составных частей изделия, и входящих в них документов в графе «Лит.» основной надписи проставить литеру «О</w:t>
      </w:r>
      <w:r>
        <w:rPr>
          <w:sz w:val="20"/>
          <w:vertAlign w:val="subscript"/>
        </w:rPr>
        <w:t>1</w:t>
      </w:r>
      <w:r>
        <w:rPr>
          <w:sz w:val="20"/>
        </w:rPr>
        <w:t>». В этом случае во всех изменяемых документах в таблице изменений указывают очередной порядковый номер изменения документа.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ж) Если взамен аннулированного документа следует пользоваться документом с другим обозначением, то в графе делают надпись, например: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«АБВГ.ХХХХХХ.380 аннулировать».</w:t>
      </w:r>
    </w:p>
    <w:p w:rsidR="00000000" w:rsidRDefault="00614052">
      <w:pPr>
        <w:jc w:val="center"/>
      </w:pPr>
      <w:r>
        <w:rPr>
          <w:sz w:val="20"/>
        </w:rPr>
        <w:object w:dxaOrig="16680" w:dyaOrig="15240">
          <v:shape id="_x0000_i1028" type="#_x0000_t75" style="width:402pt;height:367.5pt" o:ole="">
            <v:imagedata r:id="rId8" o:title=""/>
          </v:shape>
          <o:OLEObject Type="Embed" ProgID="MSPhotoEd.3" ShapeID="_x0000_i1028" DrawAspect="Content" ObjectID="_1427197721" r:id="rId9"/>
        </w:object>
      </w:r>
    </w:p>
    <w:p w:rsidR="00000000" w:rsidRDefault="00614052">
      <w:pPr>
        <w:ind w:firstLine="284"/>
        <w:jc w:val="both"/>
        <w:rPr>
          <w:sz w:val="18"/>
        </w:rPr>
      </w:pP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>Примечание. Заменен документом «АБВГ.ХХХХХХ.936</w:t>
      </w:r>
      <w:r>
        <w:rPr>
          <w:sz w:val="18"/>
        </w:rPr>
        <w:t xml:space="preserve">». </w:t>
      </w:r>
    </w:p>
    <w:p w:rsidR="00000000" w:rsidRDefault="00614052">
      <w:pPr>
        <w:ind w:firstLine="284"/>
        <w:jc w:val="both"/>
        <w:rPr>
          <w:sz w:val="18"/>
        </w:rPr>
      </w:pPr>
      <w:proofErr w:type="spellStart"/>
      <w:r>
        <w:rPr>
          <w:sz w:val="18"/>
        </w:rPr>
        <w:t>з</w:t>
      </w:r>
      <w:proofErr w:type="spellEnd"/>
      <w:r>
        <w:rPr>
          <w:sz w:val="18"/>
        </w:rPr>
        <w:t>) При замене подлинника новым с тем же обозначением в графе, кроме записи о замене, рекомендуется давать краткий перечень внесенных изменений, например:</w:t>
      </w:r>
    </w:p>
    <w:p w:rsidR="00000000" w:rsidRDefault="00614052">
      <w:pPr>
        <w:jc w:val="both"/>
        <w:rPr>
          <w:sz w:val="24"/>
        </w:rPr>
      </w:pPr>
    </w:p>
    <w:p w:rsidR="00000000" w:rsidRDefault="00614052">
      <w:pPr>
        <w:rPr>
          <w:sz w:val="24"/>
        </w:rPr>
      </w:pPr>
      <w:r>
        <w:rPr>
          <w:sz w:val="20"/>
        </w:rPr>
        <w:pict>
          <v:shape id="_x0000_i1029" type="#_x0000_t75" style="width:413.25pt;height:213pt">
            <v:imagedata r:id="rId10" o:title=""/>
          </v:shape>
        </w:pic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и) При большом количестве заменяемых документов с тем же обозначением рекомендуется давать таблицу, например: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jc w:val="both"/>
        <w:rPr>
          <w:sz w:val="20"/>
        </w:rPr>
      </w:pPr>
      <w:r>
        <w:rPr>
          <w:sz w:val="20"/>
        </w:rPr>
        <w:object w:dxaOrig="15705" w:dyaOrig="8475">
          <v:shape id="_x0000_i1030" type="#_x0000_t75" style="width:408pt;height:220.5pt" o:ole="">
            <v:imagedata r:id="rId11" o:title=""/>
          </v:shape>
          <o:OLEObject Type="Embed" ProgID="MSPhotoEd.3" ShapeID="_x0000_i1030" DrawAspect="Content" ObjectID="_1427197722" r:id="rId12"/>
        </w:object>
      </w:r>
    </w:p>
    <w:p w:rsidR="00000000" w:rsidRDefault="00614052">
      <w:pPr>
        <w:jc w:val="center"/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к) Если в связи с выпуском ИИ выпущены новые и (или) применены ранее разработанные документы (например при введении новых изделий или замене их в спецификациях), то после содержания изменения дают примечание о выпуск</w:t>
      </w:r>
      <w:r>
        <w:rPr>
          <w:sz w:val="20"/>
        </w:rPr>
        <w:t>е или применении таких документов, например: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>Примечания:</w:t>
      </w: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>1. Выпущены документы АБВГ.ХХХХХХ.171 и АБВГ.ХХХХХХ.186.</w:t>
      </w: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>2. Применен документ АБВГ.ХХХХХХ.336.</w:t>
      </w: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>При введении в изделие сборочной единицы, комплекта или комплекса в примечании дают ссылку только на вновь выпущенную или вновь примененную спецификацию вводимого изделия без перечисления входящих в нее документов.</w:t>
      </w:r>
    </w:p>
    <w:p w:rsidR="00000000" w:rsidRDefault="00614052">
      <w:pPr>
        <w:ind w:firstLine="284"/>
        <w:jc w:val="both"/>
        <w:rPr>
          <w:sz w:val="18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л) При исправлении дубликатов и (или) копий по ИИ в графе делают запись: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«Дубликаты исправить»,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«Копии исправить» или «Дубликаты и копии исправ</w:t>
      </w:r>
      <w:r>
        <w:rPr>
          <w:sz w:val="20"/>
        </w:rPr>
        <w:t>ить».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Для лучшей ориентации допускается приводить содержание (графическое или текстовое) участков, смежных с изменяемой частью документа. 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м) При заполнении графы допускаются следующие упрощения: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1) указание об изменении размеров, при условии однозначного понимания изменения, оформлять без изображения, например: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jc w:val="both"/>
        <w:rPr>
          <w:sz w:val="24"/>
        </w:rPr>
      </w:pPr>
      <w:r>
        <w:rPr>
          <w:sz w:val="20"/>
        </w:rPr>
        <w:object w:dxaOrig="15705" w:dyaOrig="3165">
          <v:shape id="_x0000_i1031" type="#_x0000_t75" style="width:408pt;height:82.5pt" o:ole="">
            <v:imagedata r:id="rId13" o:title=""/>
          </v:shape>
          <o:OLEObject Type="Embed" ProgID="MSPhotoEd.3" ShapeID="_x0000_i1031" DrawAspect="Content" ObjectID="_1427197723" r:id="rId14"/>
        </w:object>
      </w:r>
    </w:p>
    <w:p w:rsidR="00000000" w:rsidRDefault="00614052">
      <w:pPr>
        <w:jc w:val="center"/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2) вместо изображения исключаемого вида, разреза или сечения давать соответствующие текстовые указания, например: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«Разрез А—А перечеркнуть», «Вид</w:t>
      </w:r>
      <w:r>
        <w:rPr>
          <w:sz w:val="20"/>
          <w:lang w:val="en-US"/>
        </w:rPr>
        <w:t xml:space="preserve"> </w:t>
      </w:r>
      <w:r>
        <w:rPr>
          <w:sz w:val="20"/>
        </w:rPr>
        <w:t>Б перечеркнуть», «Вид справа</w:t>
      </w:r>
      <w:r>
        <w:rPr>
          <w:sz w:val="20"/>
        </w:rPr>
        <w:t xml:space="preserve"> перечеркнуть»;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3) текст пункта, полностью исключаемого из технических требований на чертеже документа или текстового документа, имеющего нумерацию пунктов не повторять, а в графе давать соответствующую запись, например: «Пункт 5 вычеркнуть»;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4) при изменении части текста не приводить предыдущий и последующий текст, заменяя</w:t>
      </w:r>
      <w:r>
        <w:rPr>
          <w:sz w:val="20"/>
          <w:lang w:val="en-US"/>
        </w:rPr>
        <w:t xml:space="preserve"> </w:t>
      </w:r>
      <w:r>
        <w:rPr>
          <w:sz w:val="20"/>
        </w:rPr>
        <w:t>его многоточием, например: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jc w:val="center"/>
        <w:rPr>
          <w:sz w:val="20"/>
        </w:rPr>
      </w:pPr>
      <w:r>
        <w:rPr>
          <w:sz w:val="20"/>
        </w:rPr>
        <w:pict>
          <v:shape id="_x0000_i1032" type="#_x0000_t75" style="width:420.75pt;height:90pt">
            <v:imagedata r:id="rId15" o:title=""/>
          </v:shape>
        </w:pic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н) Одинаковые изменения, повторяющиеся в одном документе на одном или нескольких листах, указывают один раз с соответствующими пояснениями, например: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jc w:val="center"/>
        <w:rPr>
          <w:sz w:val="20"/>
        </w:rPr>
      </w:pPr>
      <w:r>
        <w:rPr>
          <w:sz w:val="20"/>
        </w:rPr>
        <w:object w:dxaOrig="18000" w:dyaOrig="3840">
          <v:shape id="_x0000_i1033" type="#_x0000_t75" style="width:428.25pt;height:91.5pt" o:ole="">
            <v:imagedata r:id="rId16" o:title=""/>
          </v:shape>
          <o:OLEObject Type="Embed" ProgID="MSPhotoEd.3" ShapeID="_x0000_i1033" DrawAspect="Content" ObjectID="_1427197724" r:id="rId17"/>
        </w:objec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б) В случае, когда копии ИИ не рассылают другим предприятиям, допускается вместо изложения содержания изменения ИИ прилагать к нему копию изменяемого документа с внесенными в нее черными тушью, чернилами или пастой изменениями, при этом не следует использовать копии, в которые вручную были внесены изменения по ранее выпущенным ИИ. На прилагаемой к ИИ копии, в ее правой верхней части, делают надпись, например, «Приложение к АБВГ.38—89» или «Приложение к К.153—89».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п) При временном оставлени</w:t>
      </w:r>
      <w:r>
        <w:rPr>
          <w:sz w:val="20"/>
        </w:rPr>
        <w:t>и в действии аннулируемых или изменяемых по ИИ копий документов для изготовления по ним изделия без учета вносимых изменений, в графе в конце текста дают указание, ограничивающее срок действия этих копий,</w:t>
      </w:r>
      <w:r>
        <w:rPr>
          <w:sz w:val="20"/>
          <w:lang w:val="en-US"/>
        </w:rPr>
        <w:t xml:space="preserve"> </w:t>
      </w:r>
      <w:r>
        <w:rPr>
          <w:sz w:val="20"/>
        </w:rPr>
        <w:t>например: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«На копиях документов АБВЕ.ХХХХХХ.887, изм. 5, ниже штампа</w:t>
      </w:r>
      <w:r>
        <w:rPr>
          <w:sz w:val="20"/>
          <w:lang w:val="en-US"/>
        </w:rPr>
        <w:t xml:space="preserve"> «</w:t>
      </w:r>
      <w:r>
        <w:rPr>
          <w:sz w:val="20"/>
        </w:rPr>
        <w:t>Аннулирован» сделать надпись или проставить штамп «Оставить в действии на изделие № 37» или «Применять только для изготовления запасных частей».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Графы 19—22.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а) При согласовании ИИ письмом или телеграммой в графах указывают: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должность со</w:t>
      </w:r>
      <w:r>
        <w:rPr>
          <w:sz w:val="20"/>
        </w:rPr>
        <w:t>гласующего лица (при необходимости);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фамилию согласующего лица;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исходящий номер письма (телеграммы) о согласовании;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дату согласования.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б) Для размещения согласующих и утверждающих подписей к ИИ,</w:t>
      </w:r>
      <w:r>
        <w:rPr>
          <w:sz w:val="20"/>
          <w:lang w:val="en-US"/>
        </w:rPr>
        <w:t xml:space="preserve"> </w:t>
      </w:r>
      <w:r>
        <w:rPr>
          <w:sz w:val="20"/>
        </w:rPr>
        <w:t>составляют, при необходимости, титульный лист, который является первым листом ИИ. Титульный лист включают в общее число листов ИИ.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Для конструкторской документации титульный лист составляют по ГОСТ 2.105 разд. 4.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На титульном листе ИИ указывают: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на поле 1 — наименование министерства или ведомства, в систему которого</w:t>
      </w:r>
      <w:r>
        <w:rPr>
          <w:sz w:val="20"/>
        </w:rPr>
        <w:t xml:space="preserve"> входит предприятие, составившее ИИ. Заполнение поля 1 необязательно;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на поле 3 — в левой части должность и подпись лица, с которым согласовано ИИ от организаций заказчика (потребителя), в правой части—должность и подпись лица, утвердившего ИИ от организации-разработчика (изготовителя). Справа от каждой подписи проставляют инициалы и фамилию лица, подписавшего документ и дату его подписания;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на поле 5 — обозначения ИИ и изменяемого документа, например: «Извещение АБВГ.41—90 об изменении АБВГ.ХХХХХХ.001 ТУ».</w:t>
      </w:r>
      <w:r>
        <w:rPr>
          <w:sz w:val="20"/>
        </w:rPr>
        <w:t xml:space="preserve"> На данном поле также допускается указывать порядковый номер изменения документа и его наименование.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Если ИИ подлежит согласованию с несколькими должностными лицами, то их подписи размещают либо в левой части поля 3 (одна подпись под другой), либо в левой части поля 6.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Подписи разработчиков размещают в правой части поля 6.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Поля 2, 4 и 7 не заполняют.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Если часть подписей разработчиков и лиц, с которыми должно быть согласовано ИИ не размещается на первом листе, то их можно перенести на второй лист, при этом в</w:t>
      </w:r>
      <w:r>
        <w:rPr>
          <w:sz w:val="20"/>
        </w:rPr>
        <w:t xml:space="preserve"> правом углу второго листа делают надпись, например: «Продолжение титульного листа извещения АБВГ.41—90».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Для технологической документации титульный</w:t>
      </w:r>
      <w:r>
        <w:rPr>
          <w:smallCaps/>
          <w:sz w:val="20"/>
        </w:rPr>
        <w:t xml:space="preserve"> </w:t>
      </w:r>
      <w:r>
        <w:rPr>
          <w:sz w:val="20"/>
        </w:rPr>
        <w:t>лист составляют по ГОСТ 3.1105, при этом поля 1, 2, 3, 4 заполняют аналогично полям 1, 3, 5, 6 титульного листа для конструкторской документации. Поля 5, 6 и основные надписи не заполняют.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Графа 23.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При автоматизированном внесении изменения в графе проставляются реквизиты лица, внесшего изменение в информацию на носителе данных и дата внесения изменения.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center"/>
        <w:rPr>
          <w:sz w:val="20"/>
        </w:rPr>
      </w:pPr>
      <w:r>
        <w:rPr>
          <w:i/>
          <w:sz w:val="20"/>
        </w:rPr>
        <w:t>2. Жу</w:t>
      </w:r>
      <w:r>
        <w:rPr>
          <w:i/>
          <w:sz w:val="20"/>
        </w:rPr>
        <w:t>рнал изменений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2.1. Журнал изменений (далее—журнал) выполняют на форме 2.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2.2. Заполнение журнала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журнале указывают: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1 — порядковый номер изменений по данному журналу, общий для всех одновременно производимых изменений в одном документе;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2 — дату записи в журнале;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3 — обозначение изменяемого документа;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4 — содержание изменяемого участка (графическое, текстовое и т.д.) и дают указания об использовании или доработке задела.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При необходимости допускается наклеивать или помеща</w:t>
      </w:r>
      <w:r>
        <w:rPr>
          <w:sz w:val="20"/>
        </w:rPr>
        <w:t>ть в виде приложения копии изменяемых документов. При этом в графе 4 указывают «См. приложение...»;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5 — должности, фамилии, подписи соответствующих лиц, дату подписания и согласующую подпись заказчика (представителя заказчика) при его наличии;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6 — сведения о внесении изменений в подлинники;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7 — сведения о внесении изменений в копии или о замене копий;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8 — при необходимости дополнительные сведения о внесении изменений.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2.3. Внесение изменений по журналу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2.3.1. По журналу в соо</w:t>
      </w:r>
      <w:r>
        <w:rPr>
          <w:sz w:val="20"/>
        </w:rPr>
        <w:t>тветствии с п. 1.5 настоящего стандарта, производят изменения конструкторских документов до присвоения литеры «О</w:t>
      </w:r>
      <w:r>
        <w:rPr>
          <w:sz w:val="20"/>
          <w:vertAlign w:val="subscript"/>
        </w:rPr>
        <w:t>1</w:t>
      </w:r>
      <w:r>
        <w:rPr>
          <w:sz w:val="20"/>
        </w:rPr>
        <w:t>» на изделия вспомогательного и единичного производства разового изготовления с литерой «И».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>Примечание. Для отдельных изделий допускается вносить изменение по журналу в конструкторскую документацию с литерой</w:t>
      </w:r>
      <w:r>
        <w:rPr>
          <w:sz w:val="18"/>
          <w:lang w:val="en-US"/>
        </w:rPr>
        <w:t xml:space="preserve"> O</w:t>
      </w:r>
      <w:r>
        <w:rPr>
          <w:sz w:val="18"/>
          <w:vertAlign w:val="subscript"/>
        </w:rPr>
        <w:t>1</w:t>
      </w:r>
      <w:r>
        <w:rPr>
          <w:sz w:val="18"/>
        </w:rPr>
        <w:t xml:space="preserve"> с последующим оформлением ИИ. Возможность применения указанного допущения в каждом конкретном случае определяется по согласованию между разработчиком и заказчиком (представителем заказчи</w:t>
      </w:r>
      <w:r>
        <w:rPr>
          <w:sz w:val="18"/>
        </w:rPr>
        <w:t>ка).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2.3.2. </w:t>
      </w:r>
      <w:r>
        <w:rPr>
          <w:i/>
          <w:sz w:val="20"/>
        </w:rPr>
        <w:t>Ведение журнала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2.3.2.1. Журнал ведут для каждого изделия отдельно. Допускается при небольшом объеме документов на изделие вести один журнал на несколько изделий.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2.3.2.2. Листы (страницы) каждого журнала прошнуровывают и пронумеровывают по порядку. На оборотной стороне последнего листа указывают общее количество листов (страниц) в журнале, заверяют подписью лица, ответственного за выдачу журнала, с указанием даты подписи.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2.3.2.3. Журнал заполняют тушью, чернилами или пастой черного или</w:t>
      </w:r>
      <w:r>
        <w:rPr>
          <w:sz w:val="20"/>
          <w:lang w:val="en-US"/>
        </w:rPr>
        <w:t xml:space="preserve"> </w:t>
      </w:r>
      <w:r>
        <w:rPr>
          <w:sz w:val="20"/>
        </w:rPr>
        <w:t>синего</w:t>
      </w:r>
      <w:r>
        <w:rPr>
          <w:sz w:val="20"/>
        </w:rPr>
        <w:t xml:space="preserve"> цвета.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Записи следует делать четкими и разборчивыми. 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Исправления и перечеркивания заверяют подписью.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2.3.2.4. Каждому журналу присваивают порядковый регистрационный номер. 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2.3.3. </w:t>
      </w:r>
      <w:r>
        <w:rPr>
          <w:i/>
          <w:sz w:val="20"/>
        </w:rPr>
        <w:t>Внесение изменений по журналу в копии документов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2.3.3.1. Внесение изменений в копии документов производят путем непосредственного исправления копий и их замены. Изменения в копии документов вносят тушью, чернилами или пастой черного цвета.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2.3.3.2. Внесение изменений в копии документов по журналу выполняют так же, как внесение </w:t>
      </w:r>
      <w:r>
        <w:rPr>
          <w:sz w:val="20"/>
        </w:rPr>
        <w:t>изменений в подлинник, при этом в таблице изменений по ГОСТ 2.104 указывают: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«Изм.» — порядковый регистрационный номер изменения по журналу с буквой «Ж», например, «2Ж»;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</w:t>
      </w:r>
      <w:r>
        <w:rPr>
          <w:sz w:val="20"/>
          <w:lang w:val="en-US"/>
        </w:rPr>
        <w:t xml:space="preserve"> «</w:t>
      </w:r>
      <w:r>
        <w:rPr>
          <w:sz w:val="20"/>
        </w:rPr>
        <w:t>№ докумен.» — регистрационный номер журнала;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графу «Лист» — прочеркивают.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Аналогично заполняют графы блока внесения изменений по ГОСТ 3.1103 и графы ЛР.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2.3.3.3. Изменения вносят во все имеющиеся учтенные копии документов, находящиеся на данном предприятии, и в «ЭКЗЕМПЛЯР КОНСТРУКТОРА» или «ЭКЗЕМПЛЯР ТЕХНОЛОГА».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2.3.3.4. Вс</w:t>
      </w:r>
      <w:r>
        <w:rPr>
          <w:sz w:val="20"/>
        </w:rPr>
        <w:t>е копии документов, в которые вносили изменения по журналу, после изготовления и испытания опытного образца (опытной партии) изделия, заменяют новыми копиями, снятыми с подлинников, исправленных без выпуска ИИ в соответствии с пунктом 1.5 настоящего стандарта.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2.3.4. </w:t>
      </w:r>
      <w:r>
        <w:rPr>
          <w:i/>
          <w:sz w:val="20"/>
        </w:rPr>
        <w:t>Внесение изменений в подлинники документов без выпуска извещения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2.3.4.1. Изменения в подлинники документов, выполненные без выпуска ИИ, должны быть внесены на основании записи в журнале.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2.3.4.2. Изменения в подлинники документов вносят подчис</w:t>
      </w:r>
      <w:r>
        <w:rPr>
          <w:sz w:val="20"/>
        </w:rPr>
        <w:t>ткой (смывкой) или выпуском новых подлинников по правилам, установленным разд. 2 настоящего стандарта. При этом таблицу изменений, блок внесения изменений или ЛР не заполняют и около каждого изменения порядковый номер изменения не проставляют.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right"/>
        <w:rPr>
          <w:sz w:val="20"/>
        </w:rPr>
      </w:pPr>
      <w:r>
        <w:rPr>
          <w:sz w:val="20"/>
        </w:rPr>
        <w:t>Форма 2</w:t>
      </w:r>
    </w:p>
    <w:p w:rsidR="00000000" w:rsidRDefault="00614052">
      <w:pPr>
        <w:ind w:firstLine="284"/>
        <w:jc w:val="both"/>
        <w:rPr>
          <w:b/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ЖУРНАЛ ИЗМЕНЕНИЙ</w:t>
      </w:r>
    </w:p>
    <w:p w:rsidR="00000000" w:rsidRDefault="00614052">
      <w:pPr>
        <w:ind w:firstLine="284"/>
        <w:jc w:val="both"/>
        <w:rPr>
          <w:b/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276"/>
        <w:gridCol w:w="1134"/>
        <w:gridCol w:w="1251"/>
        <w:gridCol w:w="1158"/>
        <w:gridCol w:w="851"/>
        <w:gridCol w:w="12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записи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Обозначение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изменения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Должность, фамилия,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Отметка о внесении изменений в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12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подпись, дата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подлинники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копии</w:t>
            </w: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</w:tc>
      </w:tr>
    </w:tbl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>Примечания:</w:t>
      </w: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 xml:space="preserve">1 Журнал выполняют на листах формата </w:t>
      </w:r>
      <w:r>
        <w:rPr>
          <w:sz w:val="18"/>
        </w:rPr>
        <w:t xml:space="preserve">А4 или A3 по ГОСТ 2.301. </w:t>
      </w: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>2. Размеры граф журнала определяет предприятие—его пользователь.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2.3.4.3. При замене в процессе внесения изменений подлинника новым с тем же обозначением инвентарный номер подлинника сохраняется.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2.3.4.4. При внесении изменений по журналу подлинники документов подвергают повторному нормоконтролю и визируются нормоконтролером на поле для подшивки этих документов.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right"/>
        <w:rPr>
          <w:sz w:val="20"/>
        </w:rPr>
      </w:pPr>
      <w:r>
        <w:rPr>
          <w:i/>
          <w:sz w:val="20"/>
        </w:rPr>
        <w:t>ПРИЛОЖЕНИЕ</w:t>
      </w:r>
      <w:r>
        <w:rPr>
          <w:sz w:val="20"/>
        </w:rPr>
        <w:t xml:space="preserve"> </w:t>
      </w:r>
      <w:r>
        <w:rPr>
          <w:i/>
          <w:sz w:val="20"/>
        </w:rPr>
        <w:t>3</w:t>
      </w:r>
      <w:r>
        <w:rPr>
          <w:sz w:val="20"/>
        </w:rPr>
        <w:t xml:space="preserve"> </w:t>
      </w:r>
    </w:p>
    <w:p w:rsidR="00000000" w:rsidRDefault="00614052">
      <w:pPr>
        <w:ind w:firstLine="284"/>
        <w:jc w:val="right"/>
        <w:rPr>
          <w:sz w:val="20"/>
        </w:rPr>
      </w:pPr>
      <w:r>
        <w:rPr>
          <w:i/>
          <w:sz w:val="20"/>
        </w:rPr>
        <w:t>Рекомендуемое</w:t>
      </w:r>
    </w:p>
    <w:p w:rsidR="00000000" w:rsidRDefault="00614052">
      <w:pPr>
        <w:ind w:firstLine="284"/>
        <w:jc w:val="both"/>
        <w:rPr>
          <w:b/>
          <w:sz w:val="20"/>
        </w:rPr>
      </w:pPr>
    </w:p>
    <w:p w:rsidR="00000000" w:rsidRDefault="00614052">
      <w:pPr>
        <w:ind w:firstLine="284"/>
        <w:jc w:val="center"/>
        <w:rPr>
          <w:sz w:val="20"/>
        </w:rPr>
      </w:pPr>
      <w:r>
        <w:rPr>
          <w:b/>
          <w:sz w:val="20"/>
        </w:rPr>
        <w:t>ЛИСТ РЕГИСТРАЦИИ ИЗМЕНЕНИЙ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 Лист регистрации изменений (ЛР) выполняют по форме 3.</w:t>
      </w:r>
    </w:p>
    <w:p w:rsidR="00000000" w:rsidRDefault="00614052">
      <w:pPr>
        <w:ind w:firstLine="284"/>
        <w:jc w:val="both"/>
        <w:rPr>
          <w:b/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ЛИС</w:t>
      </w:r>
      <w:r>
        <w:rPr>
          <w:b/>
          <w:sz w:val="20"/>
        </w:rPr>
        <w:t>Т РЕГИСТРАЦИИ ИЗМЕНЕНИЙ</w:t>
      </w:r>
    </w:p>
    <w:p w:rsidR="00000000" w:rsidRDefault="00614052">
      <w:pPr>
        <w:ind w:firstLine="284"/>
        <w:jc w:val="center"/>
        <w:rPr>
          <w:sz w:val="20"/>
        </w:rPr>
      </w:pPr>
    </w:p>
    <w:p w:rsidR="00000000" w:rsidRDefault="00614052">
      <w:pPr>
        <w:ind w:firstLine="284"/>
        <w:jc w:val="right"/>
        <w:rPr>
          <w:sz w:val="20"/>
        </w:rPr>
      </w:pPr>
      <w:r>
        <w:rPr>
          <w:sz w:val="20"/>
        </w:rPr>
        <w:t>Форма 3</w:t>
      </w:r>
    </w:p>
    <w:p w:rsidR="00000000" w:rsidRDefault="00614052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738"/>
        <w:gridCol w:w="709"/>
        <w:gridCol w:w="708"/>
        <w:gridCol w:w="851"/>
        <w:gridCol w:w="992"/>
        <w:gridCol w:w="709"/>
        <w:gridCol w:w="1417"/>
        <w:gridCol w:w="851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Лист регистрации 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3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Номера листов (страниц)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Входящий 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Изм.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измененных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замененных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новых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аннулированных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листов (страниц) в докум.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докум.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сопроводительного докум. и дата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Подп.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4052">
            <w:pPr>
              <w:jc w:val="center"/>
              <w:rPr>
                <w:sz w:val="20"/>
              </w:rPr>
            </w:pPr>
          </w:p>
          <w:p w:rsidR="00000000" w:rsidRDefault="00614052">
            <w:pPr>
              <w:jc w:val="center"/>
              <w:rPr>
                <w:sz w:val="20"/>
              </w:rPr>
            </w:pPr>
          </w:p>
        </w:tc>
      </w:tr>
    </w:tbl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>Примечания:</w:t>
      </w: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>1. ЛР выполняют на листах формата А4 по ГОСТ 2.301 или по ГОСТ 2.004 с вертикальным или горизонтальным расположением листа.</w:t>
      </w: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>2. Для текстовых документов, издаваемых типографским способом, форма ЛР может быть изменена в соответствии с требовани</w:t>
      </w:r>
      <w:r>
        <w:rPr>
          <w:sz w:val="18"/>
        </w:rPr>
        <w:t>ями оформления типографских изданий.</w:t>
      </w: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 xml:space="preserve">3. Размеры граф ЛР устанавливает разработчик документа. </w:t>
      </w: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>4. Основная надпись ЛР для конструкторских документов по ГОСТ 2.104 (форма 2), для технологических документов—по ГОСТ 3.1103.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 ЛР предусматривают в текстовых документах в соответствии с ГОСТ 2.105, включают в общее количество листов (страниц) документа и помещают последним листом документа.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Допускается предусматривать ЛР для других видов документов, предусмотренных ГОСТ 2.102 (для конструкторских документов) и Г</w:t>
      </w:r>
      <w:r>
        <w:rPr>
          <w:sz w:val="20"/>
        </w:rPr>
        <w:t>ОСТ 3.1102 (для технологических документов).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3. ЛР, как правило, предусматривают для эксплуатационных и ремонтных документов, изданных типографским способом.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Допускается для изделий, на которые составлена эксплуатационная и ремонтная документация и не предусматривается внесение в нее изменений в процессе эксплуатации и ремонта, ЛР не предусматривать.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4. 3аполнение граф ЛР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4.1. Графы «Изм.», «№ докум.», «Подп.» и «Дата» заполняют аналогично графам таблицы изменений по ГОСТ 2.104 и графам блока внесения измен</w:t>
      </w:r>
      <w:r>
        <w:rPr>
          <w:sz w:val="20"/>
        </w:rPr>
        <w:t>ений по</w:t>
      </w:r>
      <w:r>
        <w:rPr>
          <w:smallCaps/>
          <w:sz w:val="20"/>
        </w:rPr>
        <w:t xml:space="preserve"> </w:t>
      </w:r>
      <w:r>
        <w:rPr>
          <w:sz w:val="20"/>
        </w:rPr>
        <w:t>ГОСТ 3.1103.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4.2. В графах «Номера листов (страниц) измененных, замененных, новых, аннулированных» указывают номера листов (страниц) соответственно измененных, замененных, добавленных и аннулированных по данному ИИ.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При переиздании всего документа в графе «Номера листов (страниц) замененных</w:t>
      </w:r>
      <w:r>
        <w:rPr>
          <w:sz w:val="20"/>
          <w:lang w:val="en-US"/>
        </w:rPr>
        <w:t>»</w:t>
      </w:r>
      <w:r>
        <w:rPr>
          <w:sz w:val="20"/>
        </w:rPr>
        <w:t xml:space="preserve"> указывают «Все».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4.3. Графу «Всего листов (страниц) в докум.» заполняют в случае заполнения граф «Номера листов (страниц) новых» и (или) «Номера листов (страниц) аннулированных», в остальных случаях графу прочер</w:t>
      </w:r>
      <w:r>
        <w:rPr>
          <w:sz w:val="20"/>
        </w:rPr>
        <w:t>кивают.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4.4. Графу «Входящий № сопроводительного докум. и дата» заполняют при внесении изменений в эксплуатационные и ремонтные документы в соответствии с правилами, установленными ГОСТ 2.603. В остальных случаях графу прочеркивают или в ЛР не предусматривают.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5. При замене всех листов подлинника в ЛР не воспроизводят номера изменений и другие данные, относящиеся ко всем ранее внесенным в документ изменениям.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right"/>
        <w:rPr>
          <w:i/>
          <w:sz w:val="20"/>
        </w:rPr>
      </w:pPr>
      <w:r>
        <w:rPr>
          <w:i/>
          <w:sz w:val="20"/>
        </w:rPr>
        <w:t xml:space="preserve">ПРИЛОЖЕНИЕ 4 </w:t>
      </w:r>
    </w:p>
    <w:p w:rsidR="00000000" w:rsidRDefault="00614052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Рекомендуемое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ВЫПОЛНЕНИЕ ДОПОЛНИТЕЛЬНОГО ИЗВЕЩЕНИЯ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 Дополнительное извещение (Д</w:t>
      </w:r>
      <w:r>
        <w:rPr>
          <w:sz w:val="20"/>
        </w:rPr>
        <w:t>И) выполняют на формах 1 и 1а приложения 2 и составляют на одно ИИ в случае, предусмотренном п. 1.9 настоящего стандарта.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 Обозначение ДИ состоит из обозначения ИИ, к которому оно составлено, и кода «ДИ», например, обозначение ИИ—АБВГ.17—90, обозначение дополнительного извещения к нему—АБВГ.17—90ДИ.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3. На подлиннике и копиях ИИ, к которому выпущено ДИ, в верхней правой части первого (заглавного) листа ИИ над рамкой ИИ указывают, например</w:t>
      </w:r>
      <w:r>
        <w:rPr>
          <w:sz w:val="20"/>
          <w:lang w:val="en-US"/>
        </w:rPr>
        <w:t>,</w:t>
      </w:r>
      <w:r>
        <w:rPr>
          <w:sz w:val="20"/>
        </w:rPr>
        <w:t xml:space="preserve"> «Действителен с АБВГ.17—90ДИ».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4. Заполнение граф ДИ: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графы 1,</w:t>
      </w:r>
      <w:r>
        <w:rPr>
          <w:sz w:val="20"/>
          <w:lang w:val="en-US"/>
        </w:rPr>
        <w:t xml:space="preserve"> la,</w:t>
      </w:r>
      <w:r>
        <w:rPr>
          <w:sz w:val="20"/>
        </w:rPr>
        <w:t xml:space="preserve"> </w:t>
      </w:r>
      <w:r>
        <w:rPr>
          <w:sz w:val="20"/>
        </w:rPr>
        <w:t>4, 8, 9, 19—22 заполняют так же, как в ИИ;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2 указывают обозначение ДИ;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18 указывают содержание изменения, вносимого в ИИ, если это содержание не вошло в другие графы ДИ;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остальные графы не заполняют.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right"/>
        <w:rPr>
          <w:i/>
          <w:sz w:val="20"/>
        </w:rPr>
      </w:pPr>
      <w:r>
        <w:rPr>
          <w:i/>
          <w:sz w:val="20"/>
        </w:rPr>
        <w:t xml:space="preserve">ПРИЛОЖЕНИЕ 5 </w:t>
      </w:r>
    </w:p>
    <w:p w:rsidR="00000000" w:rsidRDefault="00614052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Рекомендуемое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ВЫПОЛНЕНИЕ ПРЕДВАРИТЕЛЬНОГО ИЗВЕЩЕНИЯ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1. Предварительное извещение (ПИ) выполняют на формах 1 и 1а приложения 2 и составляют на один документ, в случае, предусмотренном п. 1.10 настоящего стандарта. Допускается составлять одно общее ПИ на несколько документов, при </w:t>
      </w:r>
      <w:r>
        <w:rPr>
          <w:sz w:val="20"/>
        </w:rPr>
        <w:t>условии проведения в них одинаковых изменений и в один срок. При этом желательно, чтобы у этих документов были одинаковые внешние абоненты.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 ПИ выполняют в соответствии с п. 3.4 настоящего стандарта.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3. ПИ действует в производстве до его погашения ИИ, переоформления в ИИ, окончания срока действия или аннулирования.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4. На один документ допускается одновременное действие не более четырех ПИ.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5. ПИ обозначают согласно п. 3.2 стандарта с добавлением кода «ПИ» например, АБВГ.34—89 ПИ, К.89—89 ПИ.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6. Оформление</w:t>
      </w:r>
      <w:r>
        <w:rPr>
          <w:sz w:val="20"/>
        </w:rPr>
        <w:t xml:space="preserve"> ПИ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6.1. Если ПИ подлежит погашению ИИ, то его оформляют так же, как ИИ, за исключением граф 2, 5—7, 17, 23.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5 указывают дату, до наступления которой должна быть произведена соответствующая запись в копиях или изменены копии, а также, при необходимости, отосланы копии ПИ на другие предприятия.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6 указывают обозначение ПИ.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7 указывают дату, до которой действует ПИ.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Графы 2, 17 и 23 не заполняют.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 xml:space="preserve">6.2. Если ПИ подлежит переоформлению в ИИ, то его оформляют так же, как ИИ, за исключением </w:t>
      </w:r>
      <w:r>
        <w:rPr>
          <w:sz w:val="20"/>
        </w:rPr>
        <w:t>граф</w:t>
      </w:r>
      <w:r>
        <w:rPr>
          <w:sz w:val="20"/>
          <w:lang w:val="en-US"/>
        </w:rPr>
        <w:t xml:space="preserve"> </w:t>
      </w:r>
      <w:r>
        <w:rPr>
          <w:sz w:val="20"/>
        </w:rPr>
        <w:t>1</w:t>
      </w:r>
      <w:r>
        <w:rPr>
          <w:sz w:val="20"/>
          <w:lang w:val="en-US"/>
        </w:rPr>
        <w:t>, la,</w:t>
      </w:r>
      <w:r>
        <w:rPr>
          <w:sz w:val="20"/>
        </w:rPr>
        <w:t xml:space="preserve"> 2, 4,</w:t>
      </w:r>
      <w:r>
        <w:rPr>
          <w:sz w:val="20"/>
          <w:lang w:val="en-US"/>
        </w:rPr>
        <w:t xml:space="preserve"> 4a,</w:t>
      </w:r>
      <w:r>
        <w:rPr>
          <w:sz w:val="20"/>
        </w:rPr>
        <w:t xml:space="preserve"> 5,</w:t>
      </w:r>
      <w:r>
        <w:rPr>
          <w:sz w:val="20"/>
          <w:lang w:val="en-US"/>
        </w:rPr>
        <w:t xml:space="preserve"> 5a,</w:t>
      </w:r>
      <w:r>
        <w:rPr>
          <w:sz w:val="20"/>
        </w:rPr>
        <w:t xml:space="preserve"> 6, 7, 12,</w:t>
      </w:r>
      <w:r>
        <w:rPr>
          <w:sz w:val="20"/>
          <w:lang w:val="en-US"/>
        </w:rPr>
        <w:t xml:space="preserve"> 12a,</w:t>
      </w:r>
      <w:r>
        <w:rPr>
          <w:sz w:val="20"/>
        </w:rPr>
        <w:t xml:space="preserve"> 13,</w:t>
      </w:r>
      <w:r>
        <w:rPr>
          <w:sz w:val="20"/>
          <w:lang w:val="en-US"/>
        </w:rPr>
        <w:t xml:space="preserve"> </w:t>
      </w:r>
      <w:r>
        <w:rPr>
          <w:sz w:val="20"/>
        </w:rPr>
        <w:t>1</w:t>
      </w:r>
      <w:r>
        <w:rPr>
          <w:sz w:val="20"/>
          <w:lang w:val="en-US"/>
        </w:rPr>
        <w:t>3a,</w:t>
      </w:r>
      <w:r>
        <w:rPr>
          <w:sz w:val="20"/>
        </w:rPr>
        <w:t xml:space="preserve"> 17, 19—22, 23.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4a указывают дату сдачи ПИ в СТД предприятия, выпустившего ПИ.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5a указывают дату, до наступления которой должна быть произведена соответствующая запись в копиях или изменены копии документов, а также, при необходимости, отосланы копии ПИ на другие предприятия.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6 указывают обозначение ПИ.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7 указывают дату, до которой действует ПИ.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12a дают указания об использовании задела изменяемых изделий на выпустив</w:t>
      </w:r>
      <w:r>
        <w:rPr>
          <w:sz w:val="20"/>
        </w:rPr>
        <w:t>шем ПИ предприятии.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I3a дают указания о внедрении изменения в производство на выпустившем ПИ предприятии.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Графы 19—22 дублируют над имеющимися для указания в них выполняемой функции (должности) лиц, подписывающих ПИ, их фамилии, подписи</w:t>
      </w:r>
      <w:r>
        <w:rPr>
          <w:sz w:val="20"/>
          <w:lang w:val="en-US"/>
        </w:rPr>
        <w:t xml:space="preserve"> </w:t>
      </w:r>
      <w:r>
        <w:rPr>
          <w:sz w:val="20"/>
        </w:rPr>
        <w:t>и</w:t>
      </w:r>
      <w:r>
        <w:rPr>
          <w:i/>
          <w:sz w:val="20"/>
          <w:lang w:val="en-US"/>
        </w:rPr>
        <w:t xml:space="preserve"> </w:t>
      </w:r>
      <w:r>
        <w:rPr>
          <w:sz w:val="20"/>
        </w:rPr>
        <w:t>даты подписания. Подписи составившего ПИ, нормоконтролера и представителя заказчика (при его наличии) являются обязательными.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Графы 1,</w:t>
      </w:r>
      <w:r>
        <w:rPr>
          <w:sz w:val="20"/>
          <w:lang w:val="en-US"/>
        </w:rPr>
        <w:t xml:space="preserve"> la,</w:t>
      </w:r>
      <w:r>
        <w:rPr>
          <w:sz w:val="20"/>
        </w:rPr>
        <w:t xml:space="preserve"> 2, 4, 5, 12, 13, 17, 23 не заполняются.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6.3. При наступлении даты, указанной в графе 7, если ПИ не было погашено ИИ, не переоф</w:t>
      </w:r>
      <w:r>
        <w:rPr>
          <w:sz w:val="20"/>
        </w:rPr>
        <w:t>ормлено в ИИ и не было аннулировано, действие ПИ прекращается.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7. На находящихся в производстве копиях документа, к которому выпущено ПИ, на поле для подшивки делают запись или проставляют штамп, например, «Действителен с АБВГ.58—89ПИ» («Действителен с К.72—89ПИ») с подписью лица, сделавшего эту запись, и указывают дату записи.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Копии документов на опытный образец (опытную партию) и на изделия единичного и вспомогательного производства допускается изменять по ПИ с соответствующими отметками в таблице изменен</w:t>
      </w:r>
      <w:r>
        <w:rPr>
          <w:sz w:val="20"/>
        </w:rPr>
        <w:t>ий по ГОСТ 2.104 (за исключением графы «Изм.») или в блоке внесения изменений по ГОСТ 3.1103  (за исключением графы 16),  без записи  или штампа «Действителен . . . 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8. При выпуске документа или замене его документом с новым обозначением по ПИ, эти новые документы нигде не учитывают, а на поле для подшивки таких документов делается запись или проставляется штамп, например: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«Действителен с АБВГ.37—89ПИ» или «Действителен с К.24—89ПИ».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9. Подлинники ПИ, выпущенные на предприятии — держателе копий документов</w:t>
      </w:r>
      <w:r>
        <w:rPr>
          <w:sz w:val="20"/>
        </w:rPr>
        <w:t>, высылают предприятию—держателю подлинников документов для рассмотрения. Если предприятие — держатель подлинников принимает ПИ, то оно высылает предприятию—держателю копий документов копии ИИ, в котором указывают о погашении ПИ или копии ПИ переоформленного в ИИ.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Если предприятие—держатель подлинников не принимает присланное ПИ, то оно сообщает об его отклонении. В этом случае предприятие—держатель копий аннулирует отклоненное ПИ другим ПИ или действие ПИ прекращается после наступления даты, указанной в гр</w:t>
      </w:r>
      <w:r>
        <w:rPr>
          <w:sz w:val="20"/>
        </w:rPr>
        <w:t>афе 7 ПИ.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10. Погашение ПИ извещением об изменении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10.1. При выпуске ИИ о погашении ПИ, содержание которых полностью вносят в подлинник, в графе 18 ИИ указывают, например: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«Погасить АБВГ.18—90ПИ с внесением изменений в подлинник».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10.2. При выпуске ИИ о погашении ПИ, содержание которых не полностью вносят в подлинник, а также о погашении ПИ, выпущенных предприятием — держателем копий, в графе 18 ИИ приводят необходимое содержание изменений, а в конце текста указывают, например: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«Данным извещением погашается</w:t>
      </w:r>
      <w:r>
        <w:rPr>
          <w:sz w:val="20"/>
        </w:rPr>
        <w:t xml:space="preserve"> АБВГ.83—90ПИ».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11. При переоформлении ПИ в ИИ незаполненные графы подлинника ПИ заполняют в соответствии с приложением 2.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12. Аннулирование ПИ производят выпуском ИИ или выпуском нового ПИ.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</w:t>
      </w:r>
      <w:r>
        <w:rPr>
          <w:sz w:val="20"/>
          <w:lang w:val="en-US"/>
        </w:rPr>
        <w:t>2</w:t>
      </w:r>
      <w:r>
        <w:rPr>
          <w:sz w:val="20"/>
        </w:rPr>
        <w:t>.1. При выпуске ИИ об аннулировании ПИ, в графе 18 ИИ делают запись, например, «АБВГ.86—89ПИ аннулировать» или «К.49—89ПИ аннулировать», при этом графу 17 прочеркивают. Сведения об этом ИИ в подлинник документа и его копии не вносят.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12.2. Если в выпущенном ПИ в графе 18 обнаружены ошибки, то выпускают новое ПИ под др</w:t>
      </w:r>
      <w:r>
        <w:rPr>
          <w:sz w:val="20"/>
        </w:rPr>
        <w:t>угим обозначением.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right"/>
        <w:rPr>
          <w:i/>
          <w:sz w:val="20"/>
        </w:rPr>
      </w:pPr>
      <w:r>
        <w:rPr>
          <w:i/>
          <w:sz w:val="20"/>
        </w:rPr>
        <w:t xml:space="preserve">ПРИЛОЖЕНИЕ 6 </w:t>
      </w:r>
    </w:p>
    <w:p w:rsidR="00000000" w:rsidRDefault="00614052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Рекомендуемое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ВЫПОЛНЕНИЕ ДОПОЛНИТЕЛЬНОГО ПРЕДВАРИТЕЛЬНОГО </w:t>
      </w: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ИЗВЕЩЕНИЯ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 Дополнительное предварительное извещение (ДПИ) выполняют на формах 1 и 1а приложения 2 и составляют на одно ПИ в случае, предусмотренном п. 1.11 стандарта.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 Обозначение ДПИ состоит из обозначения ПИ, к которому оно составлено, и кода «ДПИ» вместо кода «ПИ», например, обозначение ПИ — АБВГ.32—89ПИ, обозначение ДПИ к нему—АБВГ.32ДПИ.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3. На подлинниках и копиях ПИ, к которым выпущено ДПИ, в верхней пр</w:t>
      </w:r>
      <w:r>
        <w:rPr>
          <w:sz w:val="20"/>
        </w:rPr>
        <w:t>авой части первого (заглавного) листа ПИ над рамкой ПИ указывают, например, «Действителен с АБВГ.32—89ДПИ».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4. Заполнение граф ДПИ: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графы</w:t>
      </w:r>
      <w:r>
        <w:rPr>
          <w:sz w:val="20"/>
          <w:lang w:val="en-US"/>
        </w:rPr>
        <w:t xml:space="preserve"> </w:t>
      </w:r>
      <w:r>
        <w:rPr>
          <w:sz w:val="20"/>
        </w:rPr>
        <w:t>1</w:t>
      </w:r>
      <w:r>
        <w:rPr>
          <w:sz w:val="20"/>
          <w:lang w:val="en-US"/>
        </w:rPr>
        <w:t>, la,</w:t>
      </w:r>
      <w:r>
        <w:rPr>
          <w:sz w:val="20"/>
        </w:rPr>
        <w:t xml:space="preserve"> 4, 8, 9, 19—22 заполняются так же, как в ПИ;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6 указывают обозначение ДПИ;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18 указывают содержание изменения, вносимого в ПИ, если это содержание не вошло в другие графы ДПИ;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остальные графы не заполняют.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ПРИЛОЖЕНИЕ 7</w:t>
      </w:r>
    </w:p>
    <w:p w:rsidR="00000000" w:rsidRDefault="00614052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Рекомендуемое</w:t>
      </w:r>
    </w:p>
    <w:p w:rsidR="00000000" w:rsidRDefault="00614052">
      <w:pPr>
        <w:ind w:firstLine="284"/>
        <w:jc w:val="right"/>
        <w:rPr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ПРЕДЛОЖЕНИЯ ОБ ИЗМЕНЕНИИ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 Предложения об изменении (ПР) оформляют на формах 1 и 1а приложения 2.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 ПР присваивают</w:t>
      </w:r>
      <w:r>
        <w:rPr>
          <w:sz w:val="20"/>
        </w:rPr>
        <w:t xml:space="preserve"> обозначение согласно п. 3.2 настоящего стандарта с добавлением кода «ПР», например, АБВГ.27-89ПР.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3. В целях возможности использования ПР для переоформления в</w:t>
      </w:r>
      <w:r>
        <w:rPr>
          <w:sz w:val="20"/>
          <w:lang w:val="en-US"/>
        </w:rPr>
        <w:t xml:space="preserve"> </w:t>
      </w:r>
      <w:r>
        <w:rPr>
          <w:sz w:val="20"/>
        </w:rPr>
        <w:t>ИИ</w:t>
      </w:r>
      <w:r>
        <w:rPr>
          <w:sz w:val="20"/>
          <w:lang w:val="en-US"/>
        </w:rPr>
        <w:t xml:space="preserve"> </w:t>
      </w:r>
      <w:r>
        <w:rPr>
          <w:sz w:val="20"/>
        </w:rPr>
        <w:t>их выполняют так же, как ПИ, в соответствии с приложением 5, с учетом следующих дополнений: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предлагаемую причину изменений и производственно-технические</w:t>
      </w:r>
      <w:r>
        <w:rPr>
          <w:sz w:val="20"/>
          <w:lang w:val="en-US"/>
        </w:rPr>
        <w:t xml:space="preserve"> </w:t>
      </w:r>
      <w:r>
        <w:rPr>
          <w:sz w:val="20"/>
        </w:rPr>
        <w:t>указания излагают в сопроводительном письме к ПР;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6 указывают обозначение ПР;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продублированных графах 19—22 указывают характер работы (должности), фамилии лиц, подписывающих ПР, их подпи</w:t>
      </w:r>
      <w:r>
        <w:rPr>
          <w:sz w:val="20"/>
        </w:rPr>
        <w:t>си и даты подписания. Подписи составителя ПР, нормокотролера и представителя заказчика, при его наличии, обязательны.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4. Если, в связи с предполагаемым выпуском ИИ по данному ПР, возникает необходимость замены подлинников изменяемых документов или выпуска новых документов, то предприятию—держателю подлинников вместе с ПР предприятие — держатель копий высылает указанные документы в виде проектов подлинников, которые выполняют в соответствии с требованиями к подлинникам, при этом фамилии, подписи и даты в осн</w:t>
      </w:r>
      <w:r>
        <w:rPr>
          <w:sz w:val="20"/>
        </w:rPr>
        <w:t>овной надписи не проставляют, а проект подлинника на предприятии—держателе копий визируют на поле</w:t>
      </w:r>
      <w:r>
        <w:rPr>
          <w:sz w:val="20"/>
          <w:lang w:val="en-US"/>
        </w:rPr>
        <w:t xml:space="preserve"> </w:t>
      </w:r>
      <w:r>
        <w:rPr>
          <w:sz w:val="20"/>
        </w:rPr>
        <w:t>подшивки аналогично правилам, установленным для заполнения основной надписи. Допускается на поле для подшивки проекта подлинника проставлять обозначение ПР, с которым высылают проект данного подлинника предприятию — держателю подлинников.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5. Предприятие—держатель подлинников может использовать полученные ПР для переоформления в ИИ, при этом оно должно быть проверено, при необходимости, дополнено и оформлено в с</w:t>
      </w:r>
      <w:r>
        <w:rPr>
          <w:sz w:val="20"/>
        </w:rPr>
        <w:t>оответствии с правилами оформления ИИ.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right"/>
        <w:rPr>
          <w:i/>
          <w:sz w:val="20"/>
        </w:rPr>
      </w:pPr>
      <w:r>
        <w:rPr>
          <w:i/>
          <w:sz w:val="20"/>
        </w:rPr>
        <w:t xml:space="preserve">ПРИЛОЖЕНИЕ 8 </w:t>
      </w:r>
    </w:p>
    <w:p w:rsidR="00000000" w:rsidRDefault="00614052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Обязательное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ПОРЯДОК СОГЛАСОВАНИЯ ИЗМЕНЕНИЙ ДОКУМЕНТОВ </w:t>
      </w: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С ЗАКАЗЧИКОМ И ЕГО ПРЕДСТАВИТЕЛЯМИ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 Общий порядок согласования изменений документов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с заказчиком должен производиться по соответствующей нормативно-технической документации.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2. Все ИИ и ПИ независимо от содержания предлагаемых изменений должны быть согласованы с представителями заказчика на предприятиях—держателях подлинников.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3.</w:t>
      </w:r>
      <w:r>
        <w:rPr>
          <w:sz w:val="20"/>
          <w:lang w:val="en-US"/>
        </w:rPr>
        <w:t xml:space="preserve"> </w:t>
      </w:r>
      <w:r>
        <w:rPr>
          <w:sz w:val="20"/>
        </w:rPr>
        <w:t>ИИ и ПИ до представления на согласование представителю заказчика</w:t>
      </w:r>
      <w:r>
        <w:rPr>
          <w:sz w:val="20"/>
        </w:rPr>
        <w:t xml:space="preserve"> на предприятии—держателе подлинников должны быть оформлены всеми необходимыми согласующими подписями.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4. ПИ и ПР предприятия—держателя копий перед направлением предприятию—держателю подлинников должны быть согласованы с представителем заказчика на предприятии—держателе копий.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5. Представителю заказчика с ИИ и ПИ представляют при необходимости технические расчеты (отчеты по испытаниям), обосновывающие целесообразность и необходимость вносимых изменений.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Если представитель заказчика не согласен с предлагаемы</w:t>
      </w:r>
      <w:r>
        <w:rPr>
          <w:sz w:val="20"/>
        </w:rPr>
        <w:t>ми изменениями, то он об этом дает обоснованное заключение.</w:t>
      </w: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</w:rPr>
        <w:t>________</w:t>
      </w:r>
    </w:p>
    <w:p w:rsidR="00000000" w:rsidRDefault="00614052">
      <w:pPr>
        <w:ind w:firstLine="284"/>
        <w:jc w:val="both"/>
        <w:rPr>
          <w:sz w:val="18"/>
        </w:rPr>
      </w:pPr>
      <w:r>
        <w:rPr>
          <w:sz w:val="18"/>
          <w:vertAlign w:val="superscript"/>
        </w:rPr>
        <w:t>5</w:t>
      </w:r>
      <w:r>
        <w:rPr>
          <w:sz w:val="18"/>
        </w:rPr>
        <w:t xml:space="preserve"> В данном приложении рассматривают документы, утвержденные (согласованные) с заказчиком (представителем заказчика), а также документы, неутвержденные (согласованные) им, но по которым ведут (вели) постановку изделий заказчику.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right"/>
        <w:rPr>
          <w:i/>
          <w:sz w:val="20"/>
        </w:rPr>
      </w:pPr>
      <w:r>
        <w:rPr>
          <w:i/>
          <w:sz w:val="20"/>
        </w:rPr>
        <w:t xml:space="preserve">ПРИЛОЖЕНИЕ 9 </w:t>
      </w:r>
    </w:p>
    <w:p w:rsidR="00000000" w:rsidRDefault="00614052">
      <w:pPr>
        <w:ind w:firstLine="284"/>
        <w:jc w:val="right"/>
        <w:rPr>
          <w:sz w:val="20"/>
        </w:rPr>
      </w:pPr>
      <w:r>
        <w:rPr>
          <w:i/>
          <w:sz w:val="20"/>
        </w:rPr>
        <w:t>Рекомендуемое</w:t>
      </w:r>
    </w:p>
    <w:p w:rsidR="00000000" w:rsidRDefault="00614052">
      <w:pPr>
        <w:ind w:firstLine="284"/>
        <w:jc w:val="both"/>
        <w:rPr>
          <w:b/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УЧЕТ ИИ, ДИ, ПИ, ДПИ И ПР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1. Все оформленные ИИ, ДИ, ПИ, ДПИ и ПР с приложениями, при их наличии, передают в службу технической документации (СТД) предприятия.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Одновременно в СТД пере</w:t>
      </w:r>
      <w:r>
        <w:rPr>
          <w:sz w:val="20"/>
        </w:rPr>
        <w:t>дают подлинники, выпущенные в связи с заменой или добавлением листов изменяемых документов, а также вновь введенные или замененные подлинники.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2 При приемке подлинников ИИ, ДИ, ПИ, ДПИ и ПР проверяют: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наличие подписи лица, производящего нормоконтроль;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наличие всех листов этих документов;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наличие вновь выпущенных и замененных документов;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пригодность их для хранения и размножения.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3. Все ИИ, ПИ и ПР, выпускаемые на данном предприятии, подлежат регистрации в книге регистрации извещений об изменении, предварите</w:t>
      </w:r>
      <w:r>
        <w:rPr>
          <w:sz w:val="20"/>
        </w:rPr>
        <w:t>льных извещений и предложений об изменении (далее—книге регистрации), при этом на всех листах ИИ, ПИ и ПР и приложениях к ним проставляют обозначение по книге регистрации. В проектах подлинников документов, прикладываемых к ПР в соответствии с п. 4 приложения 7, обозначение ПР не проставляют.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4. На одном экземпляре копий ИИ и ПИ на лицевой стороне всех листов ставят штамп «Контрольный экземпляр».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5. На основании ИИ и ПИ вносят все связанные с ними изменения учетных данных в инвентарную книгу подлинников и к</w:t>
      </w:r>
      <w:r>
        <w:rPr>
          <w:sz w:val="20"/>
        </w:rPr>
        <w:t>арточки учета документов в соответствии с требованиями ГОСТ 2.501.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6. Ведение книги регистрации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6.1. Книга регистрации предназначена для регистрации НИ, ПИ и ПР и ведется в пределах предприятия.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6.2. Книга регистрации ведется по форме 4.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6.3. Книги регистрации ИИ, ПИ и ПР ведут, как правило, отдельно для конструкторских и технологических документов. Допускается вести одну книгу регистрации для конструкторских и технологических документов.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6.4. ИИ, ПИ и ПР регистрируют в отдельных книгах, при этом книги реги</w:t>
      </w:r>
      <w:r>
        <w:rPr>
          <w:sz w:val="20"/>
        </w:rPr>
        <w:t>страции ведут отдельно для документов, выпущенных данным предприятием и полученных от других предприятий.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6.5. В книге регистрации указывают: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«Дата» — дату поступления ИИ, ПИ или ПР в СТД предприятия;</w:t>
      </w:r>
    </w:p>
    <w:p w:rsidR="00000000" w:rsidRDefault="00614052">
      <w:pPr>
        <w:jc w:val="both"/>
        <w:rPr>
          <w:sz w:val="20"/>
        </w:rPr>
      </w:pPr>
      <w:r>
        <w:rPr>
          <w:sz w:val="20"/>
        </w:rPr>
        <w:t>в графе «Кем выпущен»: для ИИ, ПИ и ПР данного предприятия — код (номер) или краткое наименование подразделения, выпустившего их; для ИИ и ПИ других предприятий — номер или краткое наименование подразделения, ответственного на данном предприятии за изготовление и учет изделий;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«Сдано в СТД» — п</w:t>
      </w:r>
      <w:r>
        <w:rPr>
          <w:sz w:val="20"/>
        </w:rPr>
        <w:t>одпись сотрудника СТД, принявшего ИИ, ПИ и ПР и дату их получения;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«Примечание» — различные отметки; например: для срочного ИИ — время принятия ИИ в СТД, для ПИ—ссылку на обозначение ИИ, которым погашено ПИ, и т.д. В данной графе для ИИ и ПИ указывается, что оно действует соответственно с ДИ и ДПИ;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графы «Номер изменения», «Код изменения» и «Срок изменения» заполняют так же, как соответствующие графы ИИ;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остальные графы заполняют в соответствии с их наименованиями.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7. Лист учета извещения и предвари</w:t>
      </w:r>
      <w:r>
        <w:rPr>
          <w:sz w:val="20"/>
        </w:rPr>
        <w:t>тельного извещения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7.1. Лист учета извещения и предварительного извещения (далее—лист учета) предназначается для учета рассылки копий ИИ или ПИ внешним абонентам документов, изменяемым по данным ИИ или ПИ и подразделениям данного предприятия, а также для учета проведения изменений по ИИ или ПИ</w:t>
      </w:r>
      <w:r>
        <w:rPr>
          <w:sz w:val="20"/>
          <w:lang w:val="en-US"/>
        </w:rPr>
        <w:t xml:space="preserve"> </w:t>
      </w:r>
      <w:r>
        <w:rPr>
          <w:sz w:val="20"/>
        </w:rPr>
        <w:t>на данном предприятии.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7.2. Лист учета выполняют по форме 5</w:t>
      </w:r>
      <w:r>
        <w:rPr>
          <w:sz w:val="20"/>
          <w:lang w:val="en-US"/>
        </w:rPr>
        <w:t xml:space="preserve"> </w:t>
      </w:r>
      <w:r>
        <w:rPr>
          <w:sz w:val="20"/>
        </w:rPr>
        <w:t>и</w:t>
      </w:r>
      <w:r>
        <w:rPr>
          <w:sz w:val="20"/>
          <w:lang w:val="en-US"/>
        </w:rPr>
        <w:t xml:space="preserve"> </w:t>
      </w:r>
      <w:r>
        <w:rPr>
          <w:sz w:val="20"/>
        </w:rPr>
        <w:t>заполняют на основании ИИ</w:t>
      </w:r>
      <w:r>
        <w:rPr>
          <w:sz w:val="20"/>
          <w:lang w:val="en-US"/>
        </w:rPr>
        <w:t xml:space="preserve">  </w:t>
      </w:r>
      <w:r>
        <w:rPr>
          <w:sz w:val="20"/>
        </w:rPr>
        <w:t>или</w:t>
      </w:r>
      <w:r>
        <w:rPr>
          <w:sz w:val="20"/>
          <w:lang w:val="en-US"/>
        </w:rPr>
        <w:t xml:space="preserve"> </w:t>
      </w:r>
      <w:r>
        <w:rPr>
          <w:sz w:val="20"/>
        </w:rPr>
        <w:t>ПИ и карточек учета документов и абонентских карточек по ГОСТ 2.501 или карточек учета применяемости документации по ГОСТ 3.</w:t>
      </w:r>
      <w:r>
        <w:rPr>
          <w:sz w:val="20"/>
        </w:rPr>
        <w:t>1201.</w:t>
      </w:r>
    </w:p>
    <w:p w:rsidR="00000000" w:rsidRDefault="00614052">
      <w:pPr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Книга регистрации извещений, предварительных извещений и предложений об изменении</w:t>
      </w:r>
    </w:p>
    <w:p w:rsidR="00000000" w:rsidRDefault="00614052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Форма 4</w:t>
      </w:r>
    </w:p>
    <w:p w:rsidR="00000000" w:rsidRDefault="00614052">
      <w:pPr>
        <w:jc w:val="center"/>
        <w:rPr>
          <w:sz w:val="24"/>
        </w:rPr>
      </w:pPr>
      <w:r>
        <w:object w:dxaOrig="14160" w:dyaOrig="10380">
          <v:shape id="_x0000_i1034" type="#_x0000_t75" style="width:604.5pt;height:444pt" o:ole="">
            <v:imagedata r:id="rId18" o:title=""/>
          </v:shape>
          <o:OLEObject Type="Embed" ProgID="MSPhotoEd.3" ShapeID="_x0000_i1034" DrawAspect="Content" ObjectID="_1427197725" r:id="rId19"/>
        </w:objec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Лист учета извещения и предварительного извещения</w:t>
      </w:r>
    </w:p>
    <w:p w:rsidR="00000000" w:rsidRDefault="00614052">
      <w:pPr>
        <w:ind w:firstLine="284"/>
        <w:jc w:val="center"/>
        <w:rPr>
          <w:b/>
          <w:sz w:val="20"/>
        </w:rPr>
      </w:pPr>
    </w:p>
    <w:p w:rsidR="00000000" w:rsidRDefault="00614052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Форма 5</w:t>
      </w:r>
    </w:p>
    <w:p w:rsidR="00000000" w:rsidRDefault="00614052">
      <w:pPr>
        <w:ind w:firstLine="284"/>
        <w:jc w:val="center"/>
        <w:rPr>
          <w:b/>
          <w:sz w:val="20"/>
        </w:rPr>
      </w:pPr>
    </w:p>
    <w:p w:rsidR="00000000" w:rsidRDefault="00614052">
      <w:pPr>
        <w:rPr>
          <w:sz w:val="24"/>
        </w:rPr>
      </w:pPr>
      <w:r>
        <w:object w:dxaOrig="10920" w:dyaOrig="7320">
          <v:shape id="_x0000_i1035" type="#_x0000_t75" style="width:421.5pt;height:282pt" o:ole="">
            <v:imagedata r:id="rId20" o:title=""/>
          </v:shape>
          <o:OLEObject Type="Embed" ProgID="MSPhotoEd.3" ShapeID="_x0000_i1035" DrawAspect="Content" ObjectID="_1427197726" r:id="rId21"/>
        </w:objec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7.3. В листе учета указывают: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заголовке — обозначение ИИ или ПИ и</w:t>
      </w:r>
      <w:r>
        <w:rPr>
          <w:sz w:val="20"/>
          <w:lang w:val="en-US"/>
        </w:rPr>
        <w:t xml:space="preserve"> </w:t>
      </w:r>
      <w:r>
        <w:rPr>
          <w:sz w:val="20"/>
        </w:rPr>
        <w:t>обозначение изменяемого документа;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графах «Местонахождение» и «Кол. экз.» — соответственно абоненты учтенных копий документов и количество экземпляров копий, числящихся за абонентом.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Подпись сотрудника СТД заполнившего данные графы</w:t>
      </w:r>
      <w:r>
        <w:rPr>
          <w:sz w:val="20"/>
        </w:rPr>
        <w:t xml:space="preserve"> и заголовок</w:t>
      </w:r>
      <w:r>
        <w:rPr>
          <w:sz w:val="20"/>
          <w:lang w:val="en-US"/>
        </w:rPr>
        <w:t xml:space="preserve"> </w:t>
      </w:r>
      <w:r>
        <w:rPr>
          <w:sz w:val="20"/>
        </w:rPr>
        <w:t>листа</w:t>
      </w:r>
      <w:r>
        <w:rPr>
          <w:sz w:val="20"/>
          <w:lang w:val="en-US"/>
        </w:rPr>
        <w:t xml:space="preserve"> </w:t>
      </w:r>
      <w:r>
        <w:rPr>
          <w:sz w:val="20"/>
        </w:rPr>
        <w:t>учета, и дату заполнения указывают ниже сделанных записей;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«</w:t>
      </w:r>
      <w:r>
        <w:rPr>
          <w:position w:val="-28"/>
          <w:sz w:val="20"/>
        </w:rPr>
        <w:object w:dxaOrig="2040" w:dyaOrig="660">
          <v:shape id="_x0000_i1036" type="#_x0000_t75" style="width:79.5pt;height:26.25pt" o:ole="">
            <v:imagedata r:id="rId22" o:title=""/>
          </v:shape>
          <o:OLEObject Type="Embed" ProgID="Equation.3" ShapeID="_x0000_i1036" DrawAspect="Content" ObjectID="_1427197727" r:id="rId23"/>
        </w:object>
      </w:r>
      <w:r>
        <w:rPr>
          <w:sz w:val="20"/>
        </w:rPr>
        <w:t>» — подпись сотрудника подразделения, получившего ИИ или ПИ, или сотрудника СТД, составившего опись в соответствии с п. 9, и дату;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«№ и дата описи» — порядковые</w:t>
      </w:r>
      <w:r>
        <w:rPr>
          <w:sz w:val="20"/>
          <w:lang w:val="en-US"/>
        </w:rPr>
        <w:t xml:space="preserve"> </w:t>
      </w:r>
      <w:r>
        <w:rPr>
          <w:sz w:val="20"/>
        </w:rPr>
        <w:t>номера описей и даты их составления;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в графе «Исправлено» — подпись лица, произведшего изменения (замену, исправление, аннулирование) копий документов на данном предприятии в соответствии с ИИ, и дату изменения.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8. Опись извещений и пре</w:t>
      </w:r>
      <w:r>
        <w:rPr>
          <w:sz w:val="20"/>
        </w:rPr>
        <w:t>дварительных извещений (далее — опись)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8.1. Опись является сопроводительным документом к копиям (или дубликатам) ИИ или ПИ и прилагаемым к ним копиям (или дубликатам) документов рассылаемых другим предприятиям.</w: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8.2 Опись составляют по форме 6.</w:t>
      </w: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both"/>
        <w:rPr>
          <w:sz w:val="20"/>
        </w:rPr>
      </w:pPr>
    </w:p>
    <w:p w:rsidR="00000000" w:rsidRDefault="00614052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Опись извещений и предварительных извещений</w:t>
      </w:r>
    </w:p>
    <w:p w:rsidR="00000000" w:rsidRDefault="00614052">
      <w:pPr>
        <w:ind w:firstLine="284"/>
        <w:jc w:val="center"/>
        <w:rPr>
          <w:b/>
          <w:sz w:val="20"/>
        </w:rPr>
      </w:pPr>
    </w:p>
    <w:p w:rsidR="00000000" w:rsidRDefault="00614052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Форма 6</w:t>
      </w:r>
    </w:p>
    <w:p w:rsidR="00000000" w:rsidRDefault="00614052">
      <w:pPr>
        <w:rPr>
          <w:sz w:val="24"/>
        </w:rPr>
      </w:pPr>
      <w:r>
        <w:object w:dxaOrig="10440" w:dyaOrig="7560">
          <v:shape id="_x0000_i1037" type="#_x0000_t75" style="width:429.75pt;height:311.25pt" o:ole="">
            <v:imagedata r:id="rId24" o:title=""/>
          </v:shape>
          <o:OLEObject Type="Embed" ProgID="MSPhotoEd.3" ShapeID="_x0000_i1037" DrawAspect="Content" ObjectID="_1427197728" r:id="rId25"/>
        </w:object>
      </w:r>
    </w:p>
    <w:p w:rsidR="00000000" w:rsidRDefault="00614052">
      <w:pPr>
        <w:ind w:firstLine="284"/>
        <w:jc w:val="both"/>
        <w:rPr>
          <w:sz w:val="20"/>
        </w:rPr>
      </w:pPr>
      <w:r>
        <w:rPr>
          <w:sz w:val="20"/>
        </w:rPr>
        <w:t>8.3. Заполнение всех граф описи производят в соответствии с их наименованиями, указанными в форме.</w:t>
      </w:r>
    </w:p>
    <w:p w:rsidR="00000000" w:rsidRDefault="00614052">
      <w:pPr>
        <w:ind w:firstLine="284"/>
        <w:jc w:val="both"/>
        <w:rPr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052"/>
    <w:rsid w:val="0061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24" Type="http://schemas.openxmlformats.org/officeDocument/2006/relationships/image" Target="media/image13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23" Type="http://schemas.openxmlformats.org/officeDocument/2006/relationships/oleObject" Target="embeddings/oleObject8.bin"/><Relationship Id="rId10" Type="http://schemas.openxmlformats.org/officeDocument/2006/relationships/image" Target="media/image5.png"/><Relationship Id="rId19" Type="http://schemas.openxmlformats.org/officeDocument/2006/relationships/oleObject" Target="embeddings/oleObject6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8126</Words>
  <Characters>46324</Characters>
  <Application>Microsoft Office Word</Application>
  <DocSecurity>0</DocSecurity>
  <Lines>386</Lines>
  <Paragraphs>108</Paragraphs>
  <ScaleCrop>false</ScaleCrop>
  <Company>Elcom Ltd</Company>
  <LinksUpToDate>false</LinksUpToDate>
  <CharactersWithSpaces>54342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</dc:title>
  <dc:subject/>
  <dc:creator>CNTI</dc:creator>
  <cp:keywords/>
  <dc:description/>
  <cp:lastModifiedBy>Parhomeiai</cp:lastModifiedBy>
  <cp:revision>2</cp:revision>
  <cp:lastPrinted>2000-06-20T05:27:00Z</cp:lastPrinted>
  <dcterms:created xsi:type="dcterms:W3CDTF">2013-04-11T10:24:00Z</dcterms:created>
  <dcterms:modified xsi:type="dcterms:W3CDTF">2013-04-11T10:24:00Z</dcterms:modified>
</cp:coreProperties>
</file>