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09E5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25898-83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691.001.4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Группа Ж19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и изделия строительные</w:t>
      </w: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 определения сопротивления паропрониц</w:t>
      </w:r>
      <w:r>
        <w:rPr>
          <w:rFonts w:ascii="Times New Roman" w:hAnsi="Times New Roman"/>
          <w:sz w:val="20"/>
        </w:rPr>
        <w:t xml:space="preserve">анию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Building materials and products.</w:t>
      </w: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Methods of steam - tightness determination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570 000 </w:t>
      </w:r>
    </w:p>
    <w:p w:rsidR="00000000" w:rsidRDefault="002B09E5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Дата введения 1984-01-01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 И ВВЕДЕН В ДЕЙСТВИЕ постановлением Государственного комитета СССР по делам строительства от 14 июля 1983 г. № 180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Апрель 1988 г.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строительные материалы, изделия и лакокрасочные покрытия и устанавливает методы определения сопротивления паропроницанию листовых и пленочных строительных материалов и изделий, лакокра</w:t>
      </w:r>
      <w:r>
        <w:rPr>
          <w:rFonts w:ascii="Times New Roman" w:hAnsi="Times New Roman"/>
          <w:sz w:val="20"/>
        </w:rPr>
        <w:t>сочных покрытий, а также паропроницаемости материалов при температуре (20±2) град. С.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металлические и сыпучие строительные материалы.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Сопротивление паропроницанию изделия - величина, численно равная разности парциального давления водяного пара в паскалях у противоположных сторон изделия с плоскопараллельными сторонами, при которой через площадь изделия, равную 1 кв.м, за 1 ч проходит 1 мг водяного пара при равенстве температуры воздуха у противополо</w:t>
      </w:r>
      <w:r>
        <w:rPr>
          <w:rFonts w:ascii="Times New Roman" w:hAnsi="Times New Roman"/>
          <w:sz w:val="20"/>
        </w:rPr>
        <w:t>жных сторон слоя.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Паропроницаемость материала - величина, численно равная количеству водяного пара в миллиграммах, которое проходит за 1 ч через слой материала площадью 1 кв.м и толщиной 1 м при условии, что температура воздуха у противоположных сторон слоя одинакова, а разность парциального давления водяного пара равняется 1 Па.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Сопротивление паропроницанию определяются для листовых и пленочных  строительных материалов, изделия из которых имеют толщину менее 10 мм, а также лакокрасочных пароизоляционн</w:t>
      </w:r>
      <w:r>
        <w:rPr>
          <w:rFonts w:ascii="Times New Roman" w:hAnsi="Times New Roman"/>
          <w:sz w:val="20"/>
        </w:rPr>
        <w:t>ых покрытий. Для остальных материалов определяют паропроницаемость.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Сущность методов определения сопротивления паропроницанию и паропроницаемости заключается в создании стационарного потока паров воды через исследуемый образец и определении величины этого потока.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Аппаратура, оборудование, материалы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определения сопротивления паропроницанию и паропроницаемости применяют: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лабораторные образцовые весы 1а разряда с наибольшим пределом взвешивания 200 г по ГОСТ 24104-80;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недельный термограф М-1</w:t>
      </w:r>
      <w:r>
        <w:rPr>
          <w:rFonts w:ascii="Times New Roman" w:hAnsi="Times New Roman"/>
          <w:sz w:val="20"/>
        </w:rPr>
        <w:t>6 по ГОСТ 6416-75;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недельный гигрограф М-21 АН;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 ТЛ-19 по ГОСТ 112-78;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аспирационный психрометр;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линейку с миллиметровыми делениями по ГОСТ 427-75;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166-80;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наручные механические часы по ГОСТ 10733-79;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металлические цилиндрические обоймы (см. черт. 1);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(см. черт. 2);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стеклянные чашки типа ЧВ с наружным диаметром 100 мм и высотой 30 мм по ГОСТ 25336-82;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кристаллизационные толстостенные чашки ЧКТ диаметром 400 мм;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оконное стекло по ГОСТ 111-78;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нефтяной твердый парафин по Г</w:t>
      </w:r>
      <w:r>
        <w:rPr>
          <w:rFonts w:ascii="Times New Roman" w:hAnsi="Times New Roman"/>
          <w:sz w:val="20"/>
        </w:rPr>
        <w:t>ОСТ 23683-79;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сосновую канифоль по ГОСТ 19113-84;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пластилин по ОСТ 6-15-394-81;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дистиллированную воду по ГОСТ 6709-72;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магний азотнокислый шестиводный по ГОСТ 6203-77;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герметизирующую строительную нетвердеющую мастику по ГОСТ 14791-79.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Металлическая цилиндрическая обойма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264pt">
            <v:imagedata r:id="rId5" o:title=""/>
          </v:shape>
        </w:pic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Шкаф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12.75pt;height:153pt">
            <v:imagedata r:id="rId6" o:title=""/>
          </v:shape>
        </w:pic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стенка из паронепроницаемого материала; 2 - дверцы из паронепроницаемого материала;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3 - перфорированная полка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3. Определение сопротивления паропроницанию слоев материалов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Изготовление образцов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1.1. Сопротивление паропроницанию слоев материалов определяют на 3 цилиндрических образцах диаметром 100 мм, вырезанных из средней части подлежащего испытанию изделия. Допускается определение на образцах, имеющих в сечении форму квадрата со стороной 100 мм. Поверхности образцов очищают от пыли. Плоскости образца должны быть перпендикулярны направлению потока влаги в условиях эксплуатации изделия. Трещины на образцах не допускаются.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3.1.2. Для материалов, изделия их которых имеют толщину 10-30 мм, толщина об</w:t>
      </w:r>
      <w:r>
        <w:rPr>
          <w:rFonts w:ascii="Times New Roman" w:hAnsi="Times New Roman"/>
          <w:sz w:val="20"/>
        </w:rPr>
        <w:t>разца равняется толщине изделия;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материалов, изделия из которых имеют толщину более 30 мм, толщина образца равняется 30 мм;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материалов с заполнителем, размеры которого превышают 25 мм, и материалов со сквозными порами толщина образца равняется 60 мм.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Подготовка образцов к испытанию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Измеряют диаметр каждого образца штангенциркулем три раза. После каждого измерения образец поворачивают на 60 град. вокруг его оси симметрии. Диаметром образца считают среднее арифметическое значение результат</w:t>
      </w:r>
      <w:r>
        <w:rPr>
          <w:rFonts w:ascii="Times New Roman" w:hAnsi="Times New Roman"/>
          <w:sz w:val="20"/>
        </w:rPr>
        <w:t>ов трех измерений.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Измеряют толщину образца три раза. После каждого измерения образец поворачивают на 60 град. вокруг его оси симметрии. Толщиной образца считают среднее арифметическое значение результатов трех измерений.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Определяют плотность испытываемого материала по методу, изложенному в стандарте на метод определения этого показателя для данного материала.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3.2.3. Боковые поверхности каждого образца покрывают слоем разогретой смеси парафина и канифоли (отношение 3:1 по массе). Толщина нанесенного </w:t>
      </w:r>
      <w:r>
        <w:rPr>
          <w:rFonts w:ascii="Times New Roman" w:hAnsi="Times New Roman"/>
          <w:sz w:val="20"/>
        </w:rPr>
        <w:t>слоя 2 мм.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3.2.4. Образец помещают  на металлическую обойму. Промежутки между боковой поверхностью образца и верхней гранью металлической обоймы заполняют разогретой смесью парафина и канифоли.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3.2.5. В стеклянную чашку ЧВ наливают (120±5) г дистиллированной воды. Чашку взвешивают, устанавливают на стеклянную пластинку размерами 130х130 мм и накрывают металлической обоймой с образцом. Промежуток между боковой поверхностью обоймы и стеклянной пластинкой заполняют пластилином (см. черт. 3).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прибора для</w:t>
      </w:r>
      <w:r>
        <w:rPr>
          <w:rFonts w:ascii="Times New Roman" w:hAnsi="Times New Roman"/>
          <w:sz w:val="20"/>
        </w:rPr>
        <w:t xml:space="preserve"> определения паропроницаемости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199.5pt;height:141pt">
            <v:imagedata r:id="rId7" o:title=""/>
          </v:shape>
        </w:pic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стеклянная пластинка; 2 - пластилин; 3 - дистиллированная вода;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стеклянная чашка типа ЧВ; 5 - металлическая цилиндрическая обойма;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6 - смесь парафина с канифолью; 7 - образец испытываемого материала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Проведение испытания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3.3.1. Три образца, подготовленные в соответствии с пп. 3.2.1 - 3.2.5, помещают на перфорированную полку шкафа. Допускается помещать в шкаф образцы различных испытываемых материалов. Шкаф должен находиться в термостатированном помещ</w:t>
      </w:r>
      <w:r>
        <w:rPr>
          <w:rFonts w:ascii="Times New Roman" w:hAnsi="Times New Roman"/>
          <w:sz w:val="20"/>
        </w:rPr>
        <w:t>ении с температурой воздуха (20±2) град. С.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На нижнюю полку шкафа помещают чашки ЧКТ с насыщенным водным раствором шестиводного азотнокислого магния для создания в шкафу относительной влажности воздуха (54,5±1)%. На одну чашку ЧКТ должно приходиться не более 4 обойм с образцами.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 На перфорированную полку шкафа помещают термометр, термограф и гигрограф для непрерывного измерения температуры и относительной влажности воздуха в шкафу при проведении испытания.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 раз в 7 сут температуру и относит</w:t>
      </w:r>
      <w:r>
        <w:rPr>
          <w:rFonts w:ascii="Times New Roman" w:hAnsi="Times New Roman"/>
          <w:sz w:val="20"/>
        </w:rPr>
        <w:t>ельную влажность воздуха в шкафу измеряют аспирационным психрометром.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3.3.4. Шкаф закрывают. Щели между дверцами шкафа и между дверцами и корпусом шкафа промазывают нетвердеющей строительной мастикой.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3.3.5. Через каждые 7 сут после начала испытания стеклянную чашку ЧВ с дистиллированной водой вынимают из металлической обоймы и взвешивают. При взвешивании чашку накрывают кружком тонкой жести диаметром 110 мм.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взвешивания образец подготавливают к продолжению испытания согласно п. 3.2.6 и продолжают исп</w:t>
      </w:r>
      <w:r>
        <w:rPr>
          <w:rFonts w:ascii="Times New Roman" w:hAnsi="Times New Roman"/>
          <w:sz w:val="20"/>
        </w:rPr>
        <w:t>ытания в соответствии с пп. 3.3.1 - 3.3.4.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3.3.6. По результатам взвешивания вычисляют плотность потока водяного пара через образец q в мг/ч·кв.м по формуле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56.25pt;height:27pt">
            <v:imagedata r:id="rId8" o:title=""/>
          </v:shape>
        </w:pic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5"/>
        <w:gridCol w:w="420"/>
        <w:gridCol w:w="7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8pt;height:10.5pt">
                  <v:imagedata r:id="rId9" o:title=""/>
                </v:shape>
              </w:pic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3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уменьшение массы чашки ЧВ с дистиллированной водой за время 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30" type="#_x0000_t75" style="width:18pt;height:11.2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1" type="#_x0000_t75" style="width:18pt;height:12pt">
                  <v:imagedata r:id="rId10" o:title=""/>
                </v:shape>
              </w:pic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3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между двумя последовательными взвешиваниями, ч;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 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3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образца, кв.м.</w:t>
            </w:r>
          </w:p>
        </w:tc>
      </w:tr>
    </w:tbl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3.3.7. Испытание считают законченным, если значения плотности потока водяного пара через образец, вычисленные по результатам трех последовательных взвешиваний, остаются без </w:t>
      </w:r>
      <w:r>
        <w:rPr>
          <w:rFonts w:ascii="Times New Roman" w:hAnsi="Times New Roman"/>
          <w:sz w:val="20"/>
        </w:rPr>
        <w:t>изменения или начинают увеличиваться. За плотность потока принимают наименьшее значение из результатов трех последовательных взвешиваний.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Обработка результатов испытания</w:t>
      </w:r>
    </w:p>
    <w:p w:rsidR="00000000" w:rsidRDefault="002B09E5" w:rsidP="002B09E5">
      <w:pPr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Сопротивление паропроницанию слоя материала R в кв.мчПа/мг вычисляют по формуле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111pt;height:33.75pt">
            <v:imagedata r:id="rId11" o:title=""/>
          </v:shape>
        </w:pic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0"/>
        <w:gridCol w:w="420"/>
        <w:gridCol w:w="71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33" type="#_x0000_t75" style="width:15pt;height:13.5pt">
                  <v:imagedata r:id="rId12" o:title=""/>
                </v:shape>
              </w:pic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15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парциальное давление насыщенных паров воды при температуре испытания, определяемое по таблице, Па;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4" type="#_x0000_t75" style="width:16.5pt;height:16.5pt">
                  <v:imagedata r:id="rId13" o:title=""/>
                </v:shape>
              </w:pic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15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воздушного слоя, равная расстоянию от уровня воды в стеклянной чашке ЧВ до нижней грани образца в обойме при последнем взвеш</w:t>
            </w:r>
            <w:r>
              <w:rPr>
                <w:rFonts w:ascii="Times New Roman" w:hAnsi="Times New Roman"/>
                <w:sz w:val="20"/>
              </w:rPr>
              <w:t>ивании, м;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5" type="#_x0000_t75" style="width:18pt;height:18.75pt">
                  <v:imagedata r:id="rId14" o:title=""/>
                </v:shape>
              </w:pic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15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паропроницаемость воздуха в металлической обойме с образцом, равная 1,01 мг/м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Па;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6" type="#_x0000_t75" style="width:12.75pt;height:13.5pt">
                  <v:imagedata r:id="rId15" o:title=""/>
                </v:shape>
              </w:pic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15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парциальное давление паров воды над образцом, Па.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Величину </w:t>
      </w:r>
      <w:r>
        <w:rPr>
          <w:rFonts w:ascii="Times New Roman" w:hAnsi="Times New Roman"/>
          <w:position w:val="-6"/>
          <w:sz w:val="20"/>
        </w:rPr>
        <w:pict>
          <v:shape id="_x0000_i1037" type="#_x0000_t75" style="width:17.2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75.75pt;height:26.25pt">
            <v:imagedata r:id="rId16" o:title=""/>
          </v:shape>
        </w:pict>
      </w: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5"/>
        <w:gridCol w:w="330"/>
        <w:gridCol w:w="6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39" type="#_x0000_t75" style="width:12pt;height:12pt">
                  <v:imagedata r:id="rId17" o:title=""/>
                </v:shape>
              </w:pic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</w:tcPr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значение относительной влажности воздуха в шкафу с образцами за последние 7 сут испытания, определяемое по показаниям гигрографа и аспирационного психрометра, %.</w:t>
            </w:r>
          </w:p>
          <w:p w:rsidR="00000000" w:rsidRDefault="002B09E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Зависимость давления насыщенного пара от температуры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5"/>
        <w:gridCol w:w="1985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Температура, град. С 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мм.рт.ст.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2063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 xml:space="preserve">,48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18,2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2089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15,67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2115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15,87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18,6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2142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16,07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18,8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2169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16,27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2198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16,48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2225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16,69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19,4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2251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16,89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19,6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2281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17,11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19,8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2309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17,32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20,0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2338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17,54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20,2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2366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17,75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20,4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2395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17,97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20,6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2426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18,20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20,8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2455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18,42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21,0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2486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18,65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21,2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2517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18,88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21,4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2547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19,11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21,6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2579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19,35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21,8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2611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19,59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22,0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2643 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19,83</w:t>
            </w:r>
          </w:p>
          <w:p w:rsidR="00000000" w:rsidRDefault="002B09E5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3.4.2. Паропроницаемость материала каждого образца </w:t>
      </w:r>
      <w:r>
        <w:rPr>
          <w:rFonts w:ascii="Times New Roman" w:hAnsi="Times New Roman"/>
          <w:position w:val="-3"/>
          <w:sz w:val="20"/>
        </w:rPr>
        <w:pict>
          <v:shape id="_x0000_i1040" type="#_x0000_t75" style="width:12pt;height:10.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в мг/м·ч·Па</w: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41" type="#_x0000_t75" style="width:39pt;height:31.5pt">
            <v:imagedata r:id="rId19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5"/>
        <w:gridCol w:w="300"/>
        <w:gridCol w:w="6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2B09E5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2" type="#_x0000_t75" style="width:9.75pt;height:12pt">
                  <v:imagedata r:id="rId20" o:title=""/>
                </v:shape>
              </w:pict>
            </w:r>
          </w:p>
          <w:p w:rsidR="00000000" w:rsidRDefault="002B09E5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</w:tcPr>
          <w:p w:rsidR="00000000" w:rsidRDefault="002B09E5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B09E5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05" w:type="dxa"/>
          </w:tcPr>
          <w:p w:rsidR="00000000" w:rsidRDefault="002B09E5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образца, м.</w:t>
            </w:r>
          </w:p>
          <w:p w:rsidR="00000000" w:rsidRDefault="002B09E5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 Паропроницаемость испытываемого материала вычисляют как среднее арифметическое значение результатов измерения паропроницаемости трех образцов материала.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3.4.4. Применение метода дает возможность определить паропроницаемость материала с относительной ошибкой, не превышающей 10%.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Определение сопротивления паропроницанию </w:t>
      </w:r>
    </w:p>
    <w:p w:rsidR="00000000" w:rsidRDefault="002B09E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листовых материалов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Изготовление образцов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Испытания проводят на трех образцах материала, толщина которых р</w:t>
      </w:r>
      <w:r>
        <w:rPr>
          <w:rFonts w:ascii="Times New Roman" w:hAnsi="Times New Roman"/>
          <w:sz w:val="20"/>
        </w:rPr>
        <w:t>авна толщине изделия. Изготовление образцов проводят в соответствии с п. 3.1.1.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Подготовка образцов к испытанию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Измерение размеров образцов, плотности материала и изолирование боковых поверхностей образцов проводят в соответствии с пп. 3.2.1 - 3.2.3.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В стеклянную чашку ЧВ наливают (120±5) г дистиллированной воды. На чашку укрепляют образец испытываемого материала при помощи пластилина или герметизирующей строительной нетвердеющей мастики (см. черт. 4).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прибора для определения сопро</w:t>
      </w:r>
      <w:r>
        <w:rPr>
          <w:rFonts w:ascii="Times New Roman" w:hAnsi="Times New Roman"/>
          <w:sz w:val="20"/>
        </w:rPr>
        <w:t xml:space="preserve">тивления паропроницаемости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193.5pt;height:128.25pt">
            <v:imagedata r:id="rId21" o:title=""/>
          </v:shape>
        </w:pic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полка шкафа; 2 - стеклянная чашка ЧВ; 3 - дистиллированная вода; 4 - пластилин; 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смесь парафина с канифолью; 6 - образец испытываемого материала</w:t>
      </w: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Проведение испытания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 Три образца испытываемого материала, укрепленные на стеклянных чашках ЧВ, помещают на перфорированную полку шкафа. Далее испытания проводят в соответствии с пп. 3.3.1 - 3.3.4.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4.3.2. Через каждые 7 сут после начала испытания стеклянные чашки ЧВ с укрепленными на них образцами взвешива</w:t>
      </w:r>
      <w:r>
        <w:rPr>
          <w:rFonts w:ascii="Times New Roman" w:hAnsi="Times New Roman"/>
          <w:sz w:val="20"/>
        </w:rPr>
        <w:t>ют.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взвешивания продолжают испытание в соответствии с пп. 3.3.1 - 3.3.4.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4.3.3. По результатам взвешивания вычисляют величину плотности потока водяного пара через каждый образец в соответствии с п .3.3.6.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4.3.4. Время окончания испытания определяют в соответствии с п.3.3.7.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Обработка результатов испытания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4.4.1. Сопротивление паропроницанию образца листового материала R в кв.м·ч·Па/мг вычисляют по формуле, приведенной в п. 3.4.1.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4.4.2. Сопротивление паропроницанию листового материала вычисляют к</w:t>
      </w:r>
      <w:r>
        <w:rPr>
          <w:rFonts w:ascii="Times New Roman" w:hAnsi="Times New Roman"/>
          <w:sz w:val="20"/>
        </w:rPr>
        <w:t>ак среднее арифметическое значение результатов измерения сопротивления паропроницанию трех образцов.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4.4.3. Применение метода дает возможность определить сопротивление паропроницанию листового материала с относительной ошибкой, не превышающей 10%.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Определение сопротивления паропроницанию слоев лакокрасочных покрытий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Изготовление образцов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 Определение сопротивления паропроницанию лакокрасочного покрытия проводят на 6 образцах. Первые три из них представляют собой образцы материала, на которы</w:t>
      </w:r>
      <w:r>
        <w:rPr>
          <w:rFonts w:ascii="Times New Roman" w:hAnsi="Times New Roman"/>
          <w:sz w:val="20"/>
        </w:rPr>
        <w:t>е  в реальном изделии наносится лакокрасочное покрытие. Вторые три - образцы этого материала с нанесенным в соответствии с технологическими нормами лакокрасочным покрытием. Диаметр образцов 100 мм. Допускается определение сопротивления паропроницанию на образцах, имеющих в сечении форму квадрата со стороной 100 мм. Толщина образцов первых трех должна равняться толщине изделия, на которое наносят покрытие, но не должна превышать 10 мм.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Подготовка образцов к испытанию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5.2.1. Подготовку образцов к испытан</w:t>
      </w:r>
      <w:r>
        <w:rPr>
          <w:rFonts w:ascii="Times New Roman" w:hAnsi="Times New Roman"/>
          <w:sz w:val="20"/>
        </w:rPr>
        <w:t>ию проводят в соответствии с пп.4.2.1 и 4.2.2. Образцы с нанесенным покрытием укрепляют на чашку ЧВ покрытием вниз.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Проведение испытания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 Испытание образцов проводят в соответствии с пп.4.3.1 - 4.3.4.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Обработка результатов испытания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5.4.1. Сопротивление паропроницанию образца материала без лакокрасочного покрытия  </w:t>
      </w:r>
      <w:r>
        <w:rPr>
          <w:rFonts w:ascii="Times New Roman" w:hAnsi="Times New Roman"/>
          <w:sz w:val="20"/>
        </w:rPr>
        <w:pict>
          <v:shape id="_x0000_i1044" type="#_x0000_t75" style="width:15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>в кв.м·ч·Па/мг вычисляют в соответствии с пп. 4.4.1 и 4.4.2.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Суммарное сопротивление паропроницанию образца материала и нанесенного на него слоя лакокрасочного покрытия </w:t>
      </w:r>
      <w:r>
        <w:rPr>
          <w:rFonts w:ascii="Times New Roman" w:hAnsi="Times New Roman"/>
          <w:position w:val="-6"/>
          <w:sz w:val="20"/>
        </w:rPr>
        <w:pict>
          <v:shape id="_x0000_i1045" type="#_x0000_t75" style="width:18.75pt;height:15.75pt">
            <v:imagedata r:id="rId23" o:title=""/>
          </v:shape>
        </w:pict>
      </w:r>
      <w:r>
        <w:rPr>
          <w:rFonts w:ascii="Times New Roman" w:hAnsi="Times New Roman"/>
          <w:sz w:val="20"/>
        </w:rPr>
        <w:t>в кв.м·ч·</w:t>
      </w:r>
      <w:r>
        <w:rPr>
          <w:rFonts w:ascii="Times New Roman" w:hAnsi="Times New Roman"/>
          <w:sz w:val="20"/>
        </w:rPr>
        <w:t>Па/мг вычисляют в соответствии с пп. 4.4.1 и 4.4.2.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Сопротивление паропроницанию слоя лакокрасочного покрытия  </w:t>
      </w:r>
      <w:r>
        <w:rPr>
          <w:rFonts w:ascii="Times New Roman" w:hAnsi="Times New Roman"/>
          <w:sz w:val="20"/>
        </w:rPr>
        <w:pict>
          <v:shape id="_x0000_i1046" type="#_x0000_t75" style="width:15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в кв.м·ч·Па/мг определяют по формуле 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47" type="#_x0000_t75" style="width:81.75pt;height:15pt">
            <v:imagedata r:id="rId2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5.4.2. Применение метода дает возможность определить сопротивление паропроницанию слоя лакокрасочного покрытия с относительной ошибкой, не превышающей 10%.</w:t>
      </w:r>
    </w:p>
    <w:p w:rsidR="00000000" w:rsidRDefault="002B09E5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701A7"/>
    <w:multiLevelType w:val="singleLevel"/>
    <w:tmpl w:val="1DC2EEEC"/>
    <w:lvl w:ilvl="0">
      <w:start w:val="1"/>
      <w:numFmt w:val="decimal"/>
      <w:lvlText w:val="3.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9E5"/>
    <w:rsid w:val="002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1918</Words>
  <Characters>10939</Characters>
  <Application>Microsoft Office Word</Application>
  <DocSecurity>0</DocSecurity>
  <Lines>91</Lines>
  <Paragraphs>25</Paragraphs>
  <ScaleCrop>false</ScaleCrop>
  <Company>Elcom Ltd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25898-83</dc:title>
  <dc:subject/>
  <dc:creator>Alexandre Katalov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