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410E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 ГОСТ 26253-84</w:t>
      </w:r>
    </w:p>
    <w:p w:rsidR="00000000" w:rsidRDefault="00E9410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624.01.001.4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Группа Ж39</w:t>
      </w:r>
    </w:p>
    <w:p w:rsidR="00000000" w:rsidRDefault="00E941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ЗДАНИЯ И СООРУЖЕНИЯ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определения теплоустойчивости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ограждающих конструкций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Buildings and</w:t>
      </w:r>
      <w:r>
        <w:rPr>
          <w:rFonts w:ascii="Times New Roman" w:hAnsi="Times New Roman"/>
          <w:sz w:val="20"/>
        </w:rPr>
        <w:t xml:space="preserve"> structures. Method for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determining the building structure ability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 maintain a relatively constant temperature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 its inside surface under cycling thermal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influence</w:t>
      </w:r>
    </w:p>
    <w:p w:rsidR="00000000" w:rsidRDefault="00E9410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Дата введения 1985-01-01 </w:t>
      </w:r>
    </w:p>
    <w:p w:rsidR="00000000" w:rsidRDefault="00E9410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27 июля 1984 г. N 121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Сентябрь 1987 г.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жилые, общественные и производственные здания с нормируемой температурой воздуха помещений и устанавливает метод определен</w:t>
      </w:r>
      <w:r>
        <w:rPr>
          <w:rFonts w:ascii="Times New Roman" w:hAnsi="Times New Roman"/>
          <w:sz w:val="20"/>
        </w:rPr>
        <w:t>ия теплоустойчивости сплошных и с замкнутыми воздушными прослойками наружных ограждающих конструкций строящихся и эксплуатируемых зданий.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светопрозрачные ограждающие конструкции.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E9410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Теплоустойчивость ограждающей конструкции - способность сохранять относительное постоянство температуры на поверхности, обращенной в помещение, при периодических тепловых воздействиях.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Метод определения теплоустойчивости ограждающей конструкции основан на нахождении амп</w:t>
      </w:r>
      <w:r>
        <w:rPr>
          <w:rFonts w:ascii="Times New Roman" w:hAnsi="Times New Roman"/>
          <w:sz w:val="20"/>
        </w:rPr>
        <w:t>литуды колебаний температуры на внутренней поверхности ограждающей конструкции.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Теплоустойчивость ограждающих конструкций зданий определяют по результатам натурных теплотехнических испытаний в летний период.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Испытания проводят в помещениях зданий, расположенных в районах со среднемесячной температурой июля 21°С и выше.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Испытания вертикальных ограждающих конструкций проводят в помещении промежуточного этажа при ориентации наружной ограждающей конструкции на запад. Испытания покрытий проводят в</w:t>
      </w:r>
      <w:r>
        <w:rPr>
          <w:rFonts w:ascii="Times New Roman" w:hAnsi="Times New Roman"/>
          <w:sz w:val="20"/>
        </w:rPr>
        <w:t xml:space="preserve"> помещении верхнего этажа многоэтажного здания.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Испытания проводят в помещениях с площадью светопроемов не более 25% площади вертикальной наружной ограждающей конструкции.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АППАРАТУРА И ОБОРУДОВАНИЕ</w:t>
      </w:r>
    </w:p>
    <w:p w:rsidR="00000000" w:rsidRDefault="00E9410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Термоэлектрические преобразователи температуры с электродами - термопары хромель-копель (ТХК) или хромель-алюмель (ТХА) по ГОСТ 6616-74 (градуировка по ГОСТ 3044-84).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Низкоомный потенциометр класса точности 0,05 с верхним пределом измерений 20 МВ по ГОСТ 9245-79.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Электронный потенциометр КСП-4 с верхним</w:t>
      </w:r>
      <w:r>
        <w:rPr>
          <w:rFonts w:ascii="Times New Roman" w:hAnsi="Times New Roman"/>
          <w:sz w:val="20"/>
        </w:rPr>
        <w:t xml:space="preserve"> пределом измерений 10 МВ по ГОСТ 12997-84.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Ручной чашечный анемометр МС-13 по ГОСТ 6376-74.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Универсальный пиранометр М-80М.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Стрелочный актинометрический гальванометр ГСА-1М.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Измерительная металлическая рулетка по ГОСТ 7502-80.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 С-1 - 2А по ГОСТ 5072-79.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ПОДГОТОВКА К ИСПЫТАНИЯМ</w:t>
      </w:r>
    </w:p>
    <w:p w:rsidR="00000000" w:rsidRDefault="00E9410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 наружной стороны светопроема устанавливают солнцезащитные устройства с коэффициентом теплопропускания солнечной радиации не более 0,2 (черт. 1).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установки пиранометров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279pt">
            <v:imagedata r:id="rId4" o:title=""/>
          </v:shape>
        </w:pict>
      </w:r>
    </w:p>
    <w:p w:rsidR="00000000" w:rsidRDefault="00E941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1 -наружное солнцезащитное устрой</w:t>
      </w:r>
      <w:r>
        <w:rPr>
          <w:rFonts w:ascii="Times New Roman" w:hAnsi="Times New Roman"/>
          <w:sz w:val="20"/>
        </w:rPr>
        <w:t>ство; 2 -пиранометр</w:t>
      </w:r>
    </w:p>
    <w:p w:rsidR="00000000" w:rsidRDefault="00E941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У наружной поверхности ограждающей конструкции с помощью кронштейна на расстоянии 500 мм крепят две приемные головки пиранометров таким образом, чтобы их приемные поверхности располагались параллельно плоскости исследуемой ограждающей конструкции. Приемную поверхность одного из пиранометров разворачивают в сторону небосвода, другого - к ограждающей конструкции (см. черт. 1).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Для измерения температур внутренней поверхности ограждающей конструкции устанавливают три терм</w:t>
      </w:r>
      <w:r>
        <w:rPr>
          <w:rFonts w:ascii="Times New Roman" w:hAnsi="Times New Roman"/>
          <w:sz w:val="20"/>
        </w:rPr>
        <w:t>опары. Участок для расстановки термопар выбирают на расстоянии не менее одной толщины ограждающей конструкции от оконного проема и примыкающих к ней конструкций. Термопары по высоте помещения располагают в трех точках: 200 и 1500 мм от уровня пола и 200 мм от потолка. Напротив каждой термопары, на расстоянии 100 мм от плоскости ограждающей конструкции, устанавливают по одной термопаре для измерения температуры воздуха в пристеночной зоне (см. черт. 1).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Для измерения температуры внутреннего воздуха поме</w:t>
      </w:r>
      <w:r>
        <w:rPr>
          <w:rFonts w:ascii="Times New Roman" w:hAnsi="Times New Roman"/>
          <w:sz w:val="20"/>
        </w:rPr>
        <w:t>щения устанавливают 9 термопар по трем вертикалям: крайние вертикали располагают на расстоянии 1 м от плоскости ограждающих конструкций, а среднюю - по центру помещения. По каждой вертикали термопары устанавливают в трех точках: 200 и 1500 мм от уровня пола и 200 мм от потолка (черт. 2).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Размещение термопар в помещении</w:t>
      </w:r>
    </w:p>
    <w:p w:rsidR="00000000" w:rsidRDefault="00E941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10.25pt;height:282.75pt">
            <v:imagedata r:id="rId5" o:title=""/>
          </v:shape>
        </w:pict>
      </w:r>
    </w:p>
    <w:p w:rsidR="00000000" w:rsidRDefault="00E941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027" type="#_x0000_t75" style="width:8.25pt;height:8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- термопары в воздухе; + - термопары на поверхности</w:t>
      </w:r>
    </w:p>
    <w:p w:rsidR="00000000" w:rsidRDefault="00E941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Для измерения температуры наружного воздуха на расстоянии 500 мм от наружной поверхности ограждающей конструкции </w:t>
      </w:r>
      <w:r>
        <w:rPr>
          <w:rFonts w:ascii="Times New Roman" w:hAnsi="Times New Roman"/>
          <w:sz w:val="20"/>
        </w:rPr>
        <w:t>устанавливают три термопары. Чувствительные элементы термопар от действия солнечной радиации защищают цилиндрическими колпачками, выполненными из алюминиевой фольги. Диаметр колпачка должен быть не менее 20 мм, а высота - не менее 50 мм.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Компенсационные провода от термопар и пиранометров через промежуточный многоточечный переключатель присоединяют к вторичному измерительному прибору, который располагают в соседнем помещении.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Перед началом испытаний в помещении плотно закрывают окна и двери, отключ</w:t>
      </w:r>
      <w:r>
        <w:rPr>
          <w:rFonts w:ascii="Times New Roman" w:hAnsi="Times New Roman"/>
          <w:sz w:val="20"/>
        </w:rPr>
        <w:t>ают вентиляцию, создавая закрытый воздушный режим помещения.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ПРОВЕДЕНИЕ ИСПЫТАНИЙ</w:t>
      </w:r>
    </w:p>
    <w:p w:rsidR="00000000" w:rsidRDefault="00E9410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При проведении испытаний при помощи потенциометра последовательно измеряют значение термо-э.д.с всех термопар. При отсутствии непрерывной записи показаний измерения проводят круглосуточно с интервалом в 1 час.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Интенсивность суммарного солнечного облучения исследуемой ограждающей конструкции измеряют пиранометром, приемная поверхность которого развернута в сторону небосвода. Измерения проводят с интервалом в 1 ч </w:t>
      </w:r>
      <w:r>
        <w:rPr>
          <w:rFonts w:ascii="Times New Roman" w:hAnsi="Times New Roman"/>
          <w:sz w:val="20"/>
        </w:rPr>
        <w:t>в светлое время суток.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Интенсивность отраженной от поверхности ограждения солнечной радиации измеряют пиранометром, приемная поверхность которого обращена к ограждающей конструкции.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Интенсивность отраженной солнечной радиации измеряют одновременно с измерениями суммарного солнечного облучения не менее трех раз в инсолируемый период суток.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линейных размерах однородного участка ограждающей конструкции менее 2000 мм необходимо произвести повторные измерения отраженной солнечной радиации при положении </w:t>
      </w:r>
      <w:r>
        <w:rPr>
          <w:rFonts w:ascii="Times New Roman" w:hAnsi="Times New Roman"/>
          <w:sz w:val="20"/>
        </w:rPr>
        <w:t>приемной поверхности пиранометра на расстоянии 250 мм от наружной поверхности ограждающей конструкции.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Измерения показаний универсальных пиранометров М-80М проводят стрелочным актинометрическим гальванометром ГСА-1М.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Скорость ветра измеряют чашечным анемометром МС-13 на территории объекта испытаний четыре раза в сутки через равные промежутки времени. Измерения проводят на расстоянии от объекта испытаний, равном не менее высоты здания.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Длительность испытаний составляет не менее 5 сут.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ОБРА</w:t>
      </w:r>
      <w:r>
        <w:rPr>
          <w:rFonts w:ascii="Times New Roman" w:hAnsi="Times New Roman"/>
          <w:sz w:val="20"/>
        </w:rPr>
        <w:t>БОТКА РЕЗУЛЬТАТОВ</w:t>
      </w:r>
    </w:p>
    <w:p w:rsidR="00000000" w:rsidRDefault="00E9410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Результаты испытаний обрабатывают по трем суточным циклам испытаний с наибольшей повторяемостью измеряемых параметров.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Среднесуточные значения измеренных параметров (температуры, интенсивности солнечной радиации и скорости ветра) вычисляют как средние арифметические значения по числу результатов измерений.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Амплитуды колебаний температуры и интенсивности солнечной радиации вычисляют как разность между максимальными и среднесуточными значениями измеренной величины.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Экспе</w:t>
      </w:r>
      <w:r>
        <w:rPr>
          <w:rFonts w:ascii="Times New Roman" w:hAnsi="Times New Roman"/>
          <w:sz w:val="20"/>
        </w:rPr>
        <w:t xml:space="preserve">риментальное значение температуры внутреннего воздуха </w:t>
      </w:r>
      <w:r>
        <w:rPr>
          <w:rFonts w:ascii="Times New Roman" w:hAnsi="Times New Roman"/>
          <w:position w:val="-3"/>
          <w:sz w:val="20"/>
        </w:rPr>
        <w:pict>
          <v:shape id="_x0000_i1028" type="#_x0000_t75" style="width:11.25pt;height:14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определяют как среднее арифметическое значение температур, измеренных в 12 точках объема помещения.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Экспериментальные значения температур внутренней поверхности ограждающей конструкции </w:t>
      </w:r>
      <w:r>
        <w:rPr>
          <w:rFonts w:ascii="Times New Roman" w:hAnsi="Times New Roman"/>
          <w:position w:val="-3"/>
          <w:sz w:val="20"/>
        </w:rPr>
        <w:pict>
          <v:shape id="_x0000_i1029" type="#_x0000_t75" style="width:13.5pt;height:14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и наружного воздуха </w:t>
      </w:r>
      <w:r>
        <w:rPr>
          <w:rFonts w:ascii="Times New Roman" w:hAnsi="Times New Roman"/>
          <w:position w:val="-1"/>
          <w:sz w:val="20"/>
        </w:rPr>
        <w:pict>
          <v:shape id="_x0000_i1030" type="#_x0000_t75" style="width:12pt;height:14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определяют как среднее арифметическое значение трех измерений температур соответственно поверхности ограждающей конструкции и воздуха.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 Коэффициент теплоотдачи наружной поверхности ограждающей конструкции </w:t>
      </w:r>
      <w:r>
        <w:rPr>
          <w:rFonts w:ascii="Times New Roman" w:hAnsi="Times New Roman"/>
          <w:position w:val="-7"/>
          <w:sz w:val="20"/>
        </w:rPr>
        <w:pict>
          <v:shape id="_x0000_i1031" type="#_x0000_t75" style="width:15pt;height:14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12"/>
          <w:sz w:val="20"/>
        </w:rPr>
        <w:pict>
          <v:shape id="_x0000_i1032" type="#_x0000_t75" style="width:60pt;height:21pt">
            <v:imagedata r:id="rId11" o:title=""/>
          </v:shape>
        </w:pict>
      </w:r>
      <w:r>
        <w:rPr>
          <w:rFonts w:ascii="Times New Roman" w:hAnsi="Times New Roman"/>
          <w:sz w:val="20"/>
        </w:rPr>
        <w:t>, вычисляют по формуле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3" type="#_x0000_t75" style="width:206.25pt;height:17.25pt">
            <v:imagedata r:id="rId12" o:title=""/>
          </v:shape>
        </w:pict>
      </w:r>
      <w:r>
        <w:rPr>
          <w:rFonts w:ascii="Times New Roman" w:hAnsi="Times New Roman"/>
        </w:rPr>
        <w:t xml:space="preserve">  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где </w:t>
      </w:r>
      <w:r>
        <w:rPr>
          <w:rFonts w:ascii="Times New Roman" w:hAnsi="Times New Roman"/>
          <w:position w:val="-3"/>
          <w:sz w:val="20"/>
        </w:rPr>
        <w:pict>
          <v:shape id="_x0000_i1034" type="#_x0000_t75" style="width:9.75pt;height:11.2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-среднее арифметическое значение скорости ветра за сутки, м/с.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5.7. При линейных размерах облучаемого однородного участка конструкции более 2000 мм альбедо наружной поверхности конструкции </w:t>
      </w:r>
      <w:r>
        <w:rPr>
          <w:rFonts w:ascii="Times New Roman" w:hAnsi="Times New Roman"/>
          <w:sz w:val="20"/>
        </w:rPr>
        <w:pict>
          <v:shape id="_x0000_i1035" type="#_x0000_t75" style="width:9pt;height:9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6" type="#_x0000_t75" style="width:193.5pt;height:34.5pt">
            <v:imagedata r:id="rId15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где </w:t>
      </w:r>
      <w:r>
        <w:rPr>
          <w:rFonts w:ascii="Times New Roman" w:hAnsi="Times New Roman"/>
          <w:position w:val="-7"/>
          <w:sz w:val="20"/>
        </w:rPr>
        <w:pict>
          <v:shape id="_x0000_i1037" type="#_x0000_t75" style="width:20.25pt;height:16.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среднее арифметическое значение трех измерений интенсивности отраженной от поверхности ограждающей конструкции солнечной радиации, 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position w:val="-6"/>
          <w:sz w:val="20"/>
        </w:rPr>
        <w:pict>
          <v:shape id="_x0000_i1038" type="#_x0000_t75" style="width:21.75pt;height:16.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- то же, интенсивности суммарного солнечного облучения, 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При линейных размерах облучаемого однородного </w:t>
      </w:r>
      <w:r>
        <w:rPr>
          <w:rFonts w:ascii="Times New Roman" w:hAnsi="Times New Roman"/>
          <w:sz w:val="20"/>
        </w:rPr>
        <w:t xml:space="preserve">участка конструкции от 2000 до 700 мм альбедо наружной поверхности конструкции </w:t>
      </w:r>
      <w:r>
        <w:rPr>
          <w:rFonts w:ascii="Times New Roman" w:hAnsi="Times New Roman"/>
          <w:sz w:val="20"/>
        </w:rPr>
        <w:pict>
          <v:shape id="_x0000_i1039" type="#_x0000_t75" style="width:9pt;height:9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225.75pt;height:14.25pt">
            <v:imagedata r:id="rId18" o:title=""/>
          </v:shape>
        </w:pic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041" type="#_x0000_t75" style="width:12pt;height:14.2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- альбедо наружной поверхности конструкции, вычисленное по формуле (2) при расположении приемной поверхности пиранометра на расстоянии 250 мм от ограждающей конструкции;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42" type="#_x0000_t75" style="width:13.5pt;height:14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- то же, при расположении приемной поверхности пиранометра на расстоянии 500 мм от ограждающей конструкции;  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43" type="#_x0000_t75" style="width:12pt;height:14.2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4"/>
          <w:sz w:val="20"/>
        </w:rPr>
        <w:pict>
          <v:shape id="_x0000_i1044" type="#_x0000_t75" style="width:13.5pt;height:14.2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- коэффициенты в зависимости от линейного размера однородного участка наружной ограждающей конст</w:t>
      </w:r>
      <w:r>
        <w:rPr>
          <w:rFonts w:ascii="Times New Roman" w:hAnsi="Times New Roman"/>
          <w:sz w:val="20"/>
        </w:rPr>
        <w:t>рукции, принимаемые по табл. 1.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0"/>
        <w:gridCol w:w="1260"/>
        <w:gridCol w:w="1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Линейный размер однородного участка    </w:t>
            </w:r>
          </w:p>
          <w:p w:rsidR="00000000" w:rsidRDefault="00E9410E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облучаемой ограждающей конструкции, мм </w:t>
            </w:r>
          </w:p>
          <w:p w:rsidR="00000000" w:rsidRDefault="00E9410E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2pt;height:14.25pt">
                  <v:imagedata r:id="rId21" o:title=""/>
                </v:shape>
              </w:pic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3.5pt;height:14.25pt">
                  <v:imagedata r:id="rId22" o:title=""/>
                </v:shape>
              </w:pic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2000                   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1500                   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1200                   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900                   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700                   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1,40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1,45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1,52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1,66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1,86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0,45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0,52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0,66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0,86 </w:t>
            </w:r>
          </w:p>
          <w:p w:rsidR="00000000" w:rsidRDefault="00E941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 Амплитуду эквивалентной температуры солнечн</w:t>
      </w:r>
      <w:r>
        <w:rPr>
          <w:rFonts w:ascii="Times New Roman" w:hAnsi="Times New Roman"/>
          <w:sz w:val="20"/>
        </w:rPr>
        <w:t xml:space="preserve">ого облучения </w:t>
      </w:r>
      <w:r>
        <w:rPr>
          <w:rFonts w:ascii="Times New Roman" w:hAnsi="Times New Roman"/>
          <w:position w:val="-9"/>
          <w:sz w:val="20"/>
        </w:rPr>
        <w:pict>
          <v:shape id="_x0000_i1047" type="#_x0000_t75" style="width:22.5pt;height:17.25pt">
            <v:imagedata r:id="rId23" o:title=""/>
          </v:shape>
        </w:pict>
      </w:r>
      <w:r>
        <w:rPr>
          <w:rFonts w:ascii="Times New Roman" w:hAnsi="Times New Roman"/>
          <w:sz w:val="20"/>
        </w:rPr>
        <w:t>, вычисляют по формуле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8" type="#_x0000_t75" style="width:245.25pt;height:39pt">
            <v:imagedata r:id="rId24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где </w:t>
      </w:r>
      <w:r>
        <w:rPr>
          <w:rFonts w:ascii="Times New Roman" w:hAnsi="Times New Roman"/>
          <w:sz w:val="20"/>
        </w:rPr>
        <w:pict>
          <v:shape id="_x0000_i1049" type="#_x0000_t75" style="width:9pt;height:9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-альбедо поверхности ограждающей конструкции, определяемое по п. 5.7;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22.5pt;height:14.2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3"/>
          <w:sz w:val="20"/>
        </w:rPr>
        <w:pict>
          <v:shape id="_x0000_i1051" type="#_x0000_t75" style="width:16.5pt;height:16.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 - соответственно максимальное и среднее суточное значения интенсивности суммарного солнечного облучения  наружной поверхности ограждающей конструкции;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52" type="#_x0000_t75" style="width:15pt;height:14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 - коэффициент  теплоотдачи наружной  поверхности ограждающей конструкции, определяемый по п. 5.6, </w:t>
      </w:r>
      <w:r>
        <w:rPr>
          <w:rFonts w:ascii="Times New Roman" w:hAnsi="Times New Roman"/>
          <w:position w:val="-4"/>
          <w:sz w:val="20"/>
        </w:rPr>
        <w:pict>
          <v:shape id="_x0000_i1053" type="#_x0000_t75" style="width:60pt;height:21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.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5.9. Определяют временной интервал </w:t>
      </w:r>
      <w:r>
        <w:rPr>
          <w:rFonts w:ascii="Times New Roman" w:hAnsi="Times New Roman"/>
          <w:sz w:val="20"/>
        </w:rPr>
        <w:pict>
          <v:shape id="_x0000_i1054" type="#_x0000_t75" style="width:14.25pt;height:12pt">
            <v:imagedata r:id="rId27" o:title=""/>
          </v:shape>
        </w:pict>
      </w:r>
      <w:r>
        <w:rPr>
          <w:rFonts w:ascii="Times New Roman" w:hAnsi="Times New Roman"/>
          <w:sz w:val="20"/>
        </w:rPr>
        <w:t>, ч, равный разности времени наступления максимальных значений температуры нару</w:t>
      </w:r>
      <w:r>
        <w:rPr>
          <w:rFonts w:ascii="Times New Roman" w:hAnsi="Times New Roman"/>
          <w:sz w:val="20"/>
        </w:rPr>
        <w:t>жного воздуха и интенсивности суммарного солнечного облучения наружной поверхности ограждающей конструкции.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5.10. Амплитуду колебаний температуры наружного воздуха с учетом солнечной радиации </w:t>
      </w:r>
      <w:r>
        <w:rPr>
          <w:rFonts w:ascii="Times New Roman" w:hAnsi="Times New Roman"/>
          <w:position w:val="-10"/>
          <w:sz w:val="20"/>
        </w:rPr>
        <w:pict>
          <v:shape id="_x0000_i1055" type="#_x0000_t75" style="width:27pt;height:21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, вычисляют по формуле 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6" type="#_x0000_t75" style="width:232.5pt;height:24pt">
            <v:imagedata r:id="rId29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57" type="#_x0000_t75" style="width:22.5pt;height:17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-амплитуда эквивалентной температуры солнечного облучения, определяемая по п. 5.8, °С;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58" type="#_x0000_t75" style="width:17.25pt;height:17.2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-амплитуда колебаний температуры наружного воздуха, определяемая по п. 5.3, °С;   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59" type="#_x0000_t75" style="width:9.75pt;height:12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- безразмерный коэффициент, учитывающий несовпадение во времени </w:t>
      </w:r>
      <w:r>
        <w:rPr>
          <w:rFonts w:ascii="Times New Roman" w:hAnsi="Times New Roman"/>
          <w:sz w:val="20"/>
        </w:rPr>
        <w:pict>
          <v:shape id="_x0000_i1060" type="#_x0000_t75" style="width:14.25pt;height:12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максимальных зна</w:t>
      </w:r>
      <w:r>
        <w:rPr>
          <w:rFonts w:ascii="Times New Roman" w:hAnsi="Times New Roman"/>
          <w:sz w:val="20"/>
        </w:rPr>
        <w:t>чений температуры наружного воздуха и интенсивности суммарного солнечного облучения, принимают по табл. 2.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276"/>
        <w:gridCol w:w="1320"/>
        <w:gridCol w:w="1333"/>
        <w:gridCol w:w="11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41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Отношение амплитуд </w:t>
            </w:r>
          </w:p>
          <w:p w:rsidR="00000000" w:rsidRDefault="00E941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pict>
                <v:shape id="_x0000_i1061" type="#_x0000_t75" style="width:26.25pt;height:35.25pt">
                  <v:imagedata r:id="rId32" o:title=""/>
                </v:shape>
              </w:pic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Коэффициент </w:t>
            </w:r>
            <w:r>
              <w:rPr>
                <w:rFonts w:ascii="Times New Roman" w:hAnsi="Times New Roman"/>
                <w:sz w:val="20"/>
              </w:rPr>
              <w:pict>
                <v:shape id="_x0000_i1062" type="#_x0000_t75" style="width:9.75pt;height:12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при интервале </w:t>
            </w:r>
            <w:r>
              <w:rPr>
                <w:rFonts w:ascii="Times New Roman" w:hAnsi="Times New Roman"/>
                <w:sz w:val="20"/>
              </w:rPr>
              <w:pict>
                <v:shape id="_x0000_i1063" type="#_x0000_t75" style="width:14.25pt;height:12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ч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 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 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 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 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5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1        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1,5       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2        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3        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5        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0,99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0,99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0,99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0,99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1,00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0,96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0,97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0,97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0,97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0,98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0,92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0,93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0,93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0,94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0,96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0,87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0,87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0,88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0,90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0,93 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0,79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0,80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0,82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0,85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0,89 </w:t>
            </w:r>
          </w:p>
          <w:p w:rsidR="00000000" w:rsidRDefault="00E94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5.11. Затухание амплитуды колебаний температуры внутреннего воздуха </w:t>
      </w:r>
      <w:r>
        <w:rPr>
          <w:rFonts w:ascii="Times New Roman" w:hAnsi="Times New Roman"/>
          <w:position w:val="-4"/>
          <w:sz w:val="20"/>
        </w:rPr>
        <w:pict>
          <v:shape id="_x0000_i1064" type="#_x0000_t75" style="width:13.5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относительно амплитуды колебаний температуры внутренней поверхности ограждающей конструкции вычисляют по формуле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65" type="#_x0000_t75" style="width:202.5pt;height:30.75pt">
            <v:imagedata r:id="rId34" o:title=""/>
          </v:shape>
        </w:pic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66" type="#_x0000_t75" style="width:12pt;height:14.2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- коэффициент теплоусвоения внутренней поверхности ограждающей конструкции, вычисляемый по методике главы СНиП "Строительная теплотехника", </w:t>
      </w:r>
      <w:r>
        <w:rPr>
          <w:rFonts w:ascii="Times New Roman" w:hAnsi="Times New Roman"/>
          <w:position w:val="-9"/>
          <w:sz w:val="20"/>
        </w:rPr>
        <w:pict>
          <v:shape id="_x0000_i1067" type="#_x0000_t75" style="width:60pt;height:21pt">
            <v:imagedata r:id="rId11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68" type="#_x0000_t75" style="width:15pt;height:14.25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- коэффициент теплоот</w:t>
      </w:r>
      <w:r>
        <w:rPr>
          <w:rFonts w:ascii="Times New Roman" w:hAnsi="Times New Roman"/>
          <w:sz w:val="20"/>
        </w:rPr>
        <w:t xml:space="preserve">дачи внутренней поверхности ограждающей конструкции, принимаемый по главе СНиП "Строительная теплотехника", </w:t>
      </w:r>
      <w:r>
        <w:rPr>
          <w:rFonts w:ascii="Times New Roman" w:hAnsi="Times New Roman"/>
          <w:position w:val="-7"/>
          <w:sz w:val="20"/>
        </w:rPr>
        <w:pict>
          <v:shape id="_x0000_i1069" type="#_x0000_t75" style="width:60pt;height:21pt">
            <v:imagedata r:id="rId1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5.12. Расчетную амплитуду колебаний температуры внутренней поверхности ограждения </w:t>
      </w:r>
      <w:r>
        <w:rPr>
          <w:rFonts w:ascii="Times New Roman" w:hAnsi="Times New Roman"/>
          <w:position w:val="-10"/>
          <w:sz w:val="20"/>
        </w:rPr>
        <w:pict>
          <v:shape id="_x0000_i1070" type="#_x0000_t75" style="width:24pt;height:21.7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 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71" type="#_x0000_t75" style="width:282.75pt;height:39pt">
            <v:imagedata r:id="rId38" o:title=""/>
          </v:shape>
        </w:pict>
      </w:r>
      <w:r>
        <w:rPr>
          <w:rFonts w:ascii="Times New Roman" w:hAnsi="Times New Roman"/>
        </w:rPr>
        <w:t xml:space="preserve">         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72" type="#_x0000_t75" style="width:18.75pt;height:17.2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2"/>
          <w:sz w:val="20"/>
        </w:rPr>
        <w:pict>
          <v:shape id="_x0000_i1073" type="#_x0000_t75" style="width:17.25pt;height:17.25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- соответственно амплитуды колебаний температуры поверхности ограждения и внутреннего воздуха, принимаемые равными экспериментальным значениям, °С;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74" type="#_x0000_t75" style="width:13.5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- затухание амплитуды колебаний температуры внутреннего воздуха, определяемое по п. 5.11;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75" type="#_x0000_t75" style="width:59.25pt;height:18.7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- фазовый угол, град.;  </w:t>
      </w:r>
      <w:r>
        <w:rPr>
          <w:rFonts w:ascii="Times New Roman" w:hAnsi="Times New Roman"/>
          <w:sz w:val="20"/>
        </w:rPr>
        <w:t xml:space="preserve">   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76" type="#_x0000_t75" style="width:11.25pt;height:14.2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- время суток, соответствующее максимальному значению температуры внутренней поверхности ограждающей конструкции, ч;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77" type="#_x0000_t75" style="width:12.75pt;height:14.25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- время суток, соответствующее максимальному значению температуры внутреннего воздуха, ч.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5.13. Приведенную амплитуду колебаний температуры внутренней поверхности ограждающей конструкции </w:t>
      </w:r>
      <w:r>
        <w:rPr>
          <w:rFonts w:ascii="Times New Roman" w:hAnsi="Times New Roman"/>
          <w:position w:val="-10"/>
          <w:sz w:val="20"/>
        </w:rPr>
        <w:pict>
          <v:shape id="_x0000_i1078" type="#_x0000_t75" style="width:28.5pt;height:29.2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, соответствующую расчетным климатическим условиям, вычисляют по формуле 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36"/>
          <w:sz w:val="20"/>
          <w:lang w:val="en-US"/>
        </w:rPr>
        <w:object w:dxaOrig="1760" w:dyaOrig="840">
          <v:shape id="_x0000_i1079" type="#_x0000_t75" style="width:108pt;height:51.75pt" o:ole="">
            <v:imagedata r:id="rId45" o:title=""/>
          </v:shape>
          <o:OLEObject Type="Embed" ProgID="Equation.3" ShapeID="_x0000_i1079" DrawAspect="Content" ObjectID="_1427197908" r:id="rId46"/>
        </w:object>
      </w:r>
      <w:r>
        <w:rPr>
          <w:rFonts w:ascii="Times New Roman" w:hAnsi="Times New Roman"/>
          <w:sz w:val="20"/>
        </w:rPr>
        <w:t>,                                 (8)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080" type="#_x0000_t75" style="width:27.75pt;height:25.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- расчетная амплитуда колебаний температу</w:t>
      </w:r>
      <w:r>
        <w:rPr>
          <w:rFonts w:ascii="Times New Roman" w:hAnsi="Times New Roman"/>
          <w:sz w:val="20"/>
        </w:rPr>
        <w:t xml:space="preserve">ры поверхности ограждающей конструкции, определяемая по п. 5.12, °С;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81" type="#_x0000_t75" style="width:30pt;height:27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- расчетная амплитуда колебаний температуры наружного воздуха, определяемая по главе СНиП "Строительная теплотехника", °С; 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9"/>
          <w:sz w:val="20"/>
        </w:rPr>
        <w:pict>
          <v:shape id="_x0000_i1082" type="#_x0000_t75" style="width:30pt;height:23.2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- амплитуда колебаний температуры наружного воздуха, определяемая по п. 5.10, °С.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5.14. Приведенную амплитуду колебаний температуры внутренней поверхности ограждающей конструкции </w:t>
      </w:r>
      <w:r>
        <w:rPr>
          <w:rFonts w:ascii="Times New Roman" w:hAnsi="Times New Roman"/>
          <w:position w:val="-12"/>
          <w:sz w:val="20"/>
        </w:rPr>
        <w:pict>
          <v:shape id="_x0000_i1083" type="#_x0000_t75" style="width:21pt;height:21.7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определяют как среднее арифметическое значение результатов по трем суткам испытаний.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5.15. Вычисления производят с точност</w:t>
      </w:r>
      <w:r>
        <w:rPr>
          <w:rFonts w:ascii="Times New Roman" w:hAnsi="Times New Roman"/>
          <w:sz w:val="20"/>
        </w:rPr>
        <w:t xml:space="preserve">ью до трех значащих цифр. Окончательный результат округляют до двух значащих цифр.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5.16. Приведенная амплитуда колебаний температуры внутренней поверхности ограждающей конструкции </w:t>
      </w:r>
      <w:r>
        <w:rPr>
          <w:rFonts w:ascii="Times New Roman" w:hAnsi="Times New Roman"/>
          <w:position w:val="-10"/>
          <w:sz w:val="20"/>
        </w:rPr>
        <w:pict>
          <v:shape id="_x0000_i1084" type="#_x0000_t75" style="width:21pt;height:21.7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по результатам испытаний не должна превышать требуемой амплитуды </w:t>
      </w:r>
      <w:r>
        <w:rPr>
          <w:rFonts w:ascii="Times New Roman" w:hAnsi="Times New Roman"/>
          <w:position w:val="-9"/>
          <w:sz w:val="20"/>
        </w:rPr>
        <w:pict>
          <v:shape id="_x0000_i1085" type="#_x0000_t75" style="width:20.25pt;height:21.7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, определяемой по формуле 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6" type="#_x0000_t75" style="width:123.75pt;height:25.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87" type="#_x0000_t75" style="width:12pt;height:14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 - среднемесячная температура наружного воздуха за июль, °С.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5.17. Затухание амплитуды колебаний температуры наружного воздуха в неоднородной по плотности теплового потока ограждаю</w:t>
      </w:r>
      <w:r>
        <w:rPr>
          <w:rFonts w:ascii="Times New Roman" w:hAnsi="Times New Roman"/>
          <w:sz w:val="20"/>
        </w:rPr>
        <w:t>щей конструкции определяют по методике, изложенной в приложении.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E9410E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затухания амплитуды колебаний температуры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наружного воздуха в неоднородной по плотности теплового</w:t>
      </w:r>
    </w:p>
    <w:p w:rsidR="00000000" w:rsidRDefault="00E941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потока ограждающей конструкции 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многослойной ограждающей конструкции с теплопроводными включениями в виде обрамляющих ребер амплитуда колебаний температуры внутренней поверхности ограждающей конструкции определяется с учетом теплофизических характеристик материалов теплопроводных включений.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Плоскостями, пара</w:t>
      </w:r>
      <w:r>
        <w:rPr>
          <w:rFonts w:ascii="Times New Roman" w:hAnsi="Times New Roman"/>
          <w:sz w:val="20"/>
        </w:rPr>
        <w:t>ллельными направлению теплового потока, ограждающую конструкцию условно разрезают на участки таким образом, чтобы в пределах каждого участка конструкция была бы однородна.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Определяют площадь основного, вне участков теплопроводных включений, поля ограждающей конструкции </w:t>
      </w:r>
      <w:r>
        <w:rPr>
          <w:rFonts w:ascii="Times New Roman" w:hAnsi="Times New Roman"/>
          <w:position w:val="-4"/>
          <w:sz w:val="20"/>
        </w:rPr>
        <w:pict>
          <v:shape id="_x0000_i1088" type="#_x0000_t75" style="width:12.75pt;height:14.2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, определяют и суммируют площади участков с включениями </w:t>
      </w:r>
      <w:r>
        <w:rPr>
          <w:rFonts w:ascii="Times New Roman" w:hAnsi="Times New Roman"/>
          <w:position w:val="-3"/>
          <w:sz w:val="20"/>
        </w:rPr>
        <w:pict>
          <v:shape id="_x0000_i1089" type="#_x0000_t75" style="width:14.25pt;height:14.2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3"/>
          <w:sz w:val="20"/>
        </w:rPr>
        <w:pict>
          <v:shape id="_x0000_i1090" type="#_x0000_t75" style="width:13.5pt;height:14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и т.д. Для каждого из участков по методике главы СНиП "Строительная теплотехника" вычисляют затухание амплитуды колебаний температуры наружного воздуха </w:t>
      </w:r>
      <w:r>
        <w:rPr>
          <w:rFonts w:ascii="Times New Roman" w:hAnsi="Times New Roman"/>
          <w:position w:val="-3"/>
          <w:sz w:val="20"/>
        </w:rPr>
        <w:pict>
          <v:shape id="_x0000_i1091" type="#_x0000_t75" style="width:12.75pt;height:14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3"/>
          <w:sz w:val="20"/>
        </w:rPr>
        <w:pict>
          <v:shape id="_x0000_i1092" type="#_x0000_t75" style="width:14.25pt;height:14.2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1"/>
          <w:sz w:val="20"/>
        </w:rPr>
        <w:pict>
          <v:shape id="_x0000_i1093" type="#_x0000_t75" style="width:13.5pt;height:14.25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 и т.д.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неоднород</w:t>
      </w:r>
      <w:r>
        <w:rPr>
          <w:rFonts w:ascii="Times New Roman" w:hAnsi="Times New Roman"/>
          <w:sz w:val="20"/>
        </w:rPr>
        <w:t>ной ограждающей конструкции с одним видом включения затухание амплитуды колебаний наружного воздуха вичисляют по формуле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94" type="#_x0000_t75" style="width:247.5pt;height:50.25pt">
            <v:imagedata r:id="rId56" o:title=""/>
          </v:shape>
        </w:pic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095" type="#_x0000_t75" style="width:12.75pt;height:14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- затухание амплитуды колебаний температуры по основному полю ограждающей конструкции;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96" type="#_x0000_t75" style="width:14.25pt;height:14.2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- то же, по теплопроводному включению;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97" type="#_x0000_t75" style="width:14.25pt;height:14.25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- тепловая инерция основного поля ограждающей конструкции;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98" type="#_x0000_t75" style="width:15pt;height:14.25pt">
            <v:imagedata r:id="rId58" o:title=""/>
          </v:shape>
        </w:pict>
      </w:r>
      <w:r>
        <w:rPr>
          <w:rFonts w:ascii="Times New Roman" w:hAnsi="Times New Roman"/>
          <w:sz w:val="20"/>
        </w:rPr>
        <w:t xml:space="preserve"> - то же, для участка теплопроводного включения;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99" type="#_x0000_t75" style="width:11.25pt;height:14.25pt">
            <v:imagedata r:id="rId59" o:title=""/>
          </v:shape>
        </w:pict>
      </w:r>
      <w:r>
        <w:rPr>
          <w:rFonts w:ascii="Times New Roman" w:hAnsi="Times New Roman"/>
          <w:sz w:val="20"/>
        </w:rPr>
        <w:t xml:space="preserve"> - безразмерный параметр, равный отношению площади участка теплопроводного включения </w:t>
      </w:r>
      <w:r>
        <w:rPr>
          <w:rFonts w:ascii="Times New Roman" w:hAnsi="Times New Roman"/>
          <w:position w:val="-3"/>
          <w:sz w:val="20"/>
        </w:rPr>
        <w:pict>
          <v:shape id="_x0000_i1100" type="#_x0000_t75" style="width:14.25pt;height:14.2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к площади основного поля </w:t>
      </w:r>
      <w:r>
        <w:rPr>
          <w:rFonts w:ascii="Times New Roman" w:hAnsi="Times New Roman"/>
          <w:position w:val="-6"/>
          <w:sz w:val="20"/>
        </w:rPr>
        <w:pict>
          <v:shape id="_x0000_i1101" type="#_x0000_t75" style="width:12.75pt;height:14.2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ограждающей конструкции.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</w:t>
      </w:r>
      <w:r>
        <w:rPr>
          <w:rFonts w:ascii="Times New Roman" w:hAnsi="Times New Roman"/>
          <w:sz w:val="20"/>
        </w:rPr>
        <w:t xml:space="preserve">я неоднородной ограждающей конструкции с двумя характерными теплопроводными включениями вычисляют значение затухания </w:t>
      </w:r>
      <w:r>
        <w:rPr>
          <w:rFonts w:ascii="Times New Roman" w:hAnsi="Times New Roman"/>
          <w:position w:val="-4"/>
          <w:sz w:val="20"/>
        </w:rPr>
        <w:pict>
          <v:shape id="_x0000_i1102" type="#_x0000_t75" style="width:13.5pt;height:14.25pt">
            <v:imagedata r:id="rId60" o:title=""/>
          </v:shape>
        </w:pict>
      </w:r>
      <w:r>
        <w:rPr>
          <w:rFonts w:ascii="Times New Roman" w:hAnsi="Times New Roman"/>
          <w:sz w:val="20"/>
        </w:rPr>
        <w:t xml:space="preserve"> для участков теплопроводных включений по формуле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pict>
          <v:shape id="_x0000_i1103" type="#_x0000_t75" style="width:324pt;height:50.25pt">
            <v:imagedata r:id="rId61" o:title=""/>
          </v:shape>
        </w:pic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104" type="#_x0000_t75" style="width:17.25pt;height:14.2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 - значение затухания для первого участка теплопроводного включения;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05" type="#_x0000_t75" style="width:18pt;height:14.25pt">
            <v:imagedata r:id="rId63" o:title=""/>
          </v:shape>
        </w:pict>
      </w:r>
      <w:r>
        <w:rPr>
          <w:rFonts w:ascii="Times New Roman" w:hAnsi="Times New Roman"/>
          <w:sz w:val="20"/>
        </w:rPr>
        <w:t xml:space="preserve"> - то же, для второго участка;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106" type="#_x0000_t75" style="width:17.25pt;height:14.25pt">
            <v:imagedata r:id="rId64" o:title=""/>
          </v:shape>
        </w:pict>
      </w:r>
      <w:r>
        <w:rPr>
          <w:rFonts w:ascii="Times New Roman" w:hAnsi="Times New Roman"/>
          <w:sz w:val="20"/>
        </w:rPr>
        <w:t xml:space="preserve"> - площадь первого участка теплопроводного включения,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107" type="#_x0000_t75" style="width:18pt;height:14.25pt">
            <v:imagedata r:id="rId65" o:title=""/>
          </v:shape>
        </w:pict>
      </w:r>
      <w:r>
        <w:rPr>
          <w:rFonts w:ascii="Times New Roman" w:hAnsi="Times New Roman"/>
          <w:sz w:val="20"/>
        </w:rPr>
        <w:t xml:space="preserve"> - то же, для второго участка,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108" type="#_x0000_t75" style="width:18.75pt;height:14.25pt">
            <v:imagedata r:id="rId66" o:title=""/>
          </v:shape>
        </w:pict>
      </w:r>
      <w:r>
        <w:rPr>
          <w:rFonts w:ascii="Times New Roman" w:hAnsi="Times New Roman"/>
          <w:sz w:val="20"/>
        </w:rPr>
        <w:t xml:space="preserve"> - тепловая инерция первого участка теплопроводного включения;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109" type="#_x0000_t75" style="width:20.25pt;height:14.25pt">
            <v:imagedata r:id="rId67" o:title=""/>
          </v:shape>
        </w:pict>
      </w:r>
      <w:r>
        <w:rPr>
          <w:rFonts w:ascii="Times New Roman" w:hAnsi="Times New Roman"/>
          <w:sz w:val="20"/>
        </w:rPr>
        <w:t xml:space="preserve"> - то же, для второго участка.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Затухание амплитуды колебаний температуры </w:t>
      </w:r>
      <w:r>
        <w:rPr>
          <w:rFonts w:ascii="Times New Roman" w:hAnsi="Times New Roman"/>
          <w:sz w:val="20"/>
        </w:rPr>
        <w:t xml:space="preserve">наружного воздуха в ограждающей конструкции в целом </w:t>
      </w:r>
      <w:r>
        <w:rPr>
          <w:rFonts w:ascii="Times New Roman" w:hAnsi="Times New Roman"/>
          <w:sz w:val="20"/>
        </w:rPr>
        <w:pict>
          <v:shape id="_x0000_i1110" type="#_x0000_t75" style="width:13.5pt;height:16.5pt">
            <v:imagedata r:id="rId68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1" type="#_x0000_t75" style="width:242.25pt;height:50.25pt">
            <v:imagedata r:id="rId69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112" type="#_x0000_t75" style="width:12.75pt;height:14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- значение затухания по основному полю ограждающей конструкции;   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13" type="#_x0000_t75" style="width:13.5pt;height:14.25pt">
            <v:imagedata r:id="rId60" o:title=""/>
          </v:shape>
        </w:pict>
      </w:r>
      <w:r>
        <w:rPr>
          <w:rFonts w:ascii="Times New Roman" w:hAnsi="Times New Roman"/>
          <w:sz w:val="20"/>
        </w:rPr>
        <w:t xml:space="preserve"> - эквивалентное значение затухания участков теплопроводных включений;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14" type="#_x0000_t75" style="width:14.25pt;height:14.25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- характеристика тепловой инерции основного участка ограждающей конструкции;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115" type="#_x0000_t75" style="width:18.75pt;height:14.25pt">
            <v:imagedata r:id="rId70" o:title=""/>
          </v:shape>
        </w:pict>
      </w:r>
      <w:r>
        <w:rPr>
          <w:rFonts w:ascii="Times New Roman" w:hAnsi="Times New Roman"/>
          <w:sz w:val="20"/>
        </w:rPr>
        <w:t xml:space="preserve"> - эффективная характеристика тепловой инерции участков теплопроводных включений, равная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16" type="#_x0000_t75" style="width:125.25pt;height:30.75pt">
            <v:imagedata r:id="rId71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7" type="#_x0000_t75" style="width:11.25pt;height:14.25pt">
            <v:imagedata r:id="rId59" o:title=""/>
          </v:shape>
        </w:pict>
      </w:r>
      <w:r>
        <w:rPr>
          <w:rFonts w:ascii="Times New Roman" w:hAnsi="Times New Roman"/>
          <w:sz w:val="20"/>
        </w:rPr>
        <w:t xml:space="preserve"> - безразмерный параметр, равный отношению площади участков теплопроводных включений к площади осн</w:t>
      </w:r>
      <w:r>
        <w:rPr>
          <w:rFonts w:ascii="Times New Roman" w:hAnsi="Times New Roman"/>
          <w:sz w:val="20"/>
        </w:rPr>
        <w:t xml:space="preserve">овного участка ограждающей конструкции, определяемый по формуле </w:t>
      </w: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9410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18" type="#_x0000_t75" style="width:69.75pt;height:30.75pt">
            <v:imagedata r:id="rId72" o:title=""/>
          </v:shape>
        </w:pict>
      </w:r>
    </w:p>
    <w:p w:rsidR="00000000" w:rsidRDefault="00E9410E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10E"/>
    <w:rsid w:val="00E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styleId="a4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" Type="http://schemas.openxmlformats.org/officeDocument/2006/relationships/image" Target="media/image4.wmf"/><Relationship Id="rId71" Type="http://schemas.openxmlformats.org/officeDocument/2006/relationships/image" Target="media/image67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5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oleObject" Target="embeddings/oleObject1.bin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2341</Words>
  <Characters>13344</Characters>
  <Application>Microsoft Office Word</Application>
  <DocSecurity>0</DocSecurity>
  <Lines>111</Lines>
  <Paragraphs>31</Paragraphs>
  <ScaleCrop>false</ScaleCrop>
  <Company> </Company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ГОСТ 26253-84</dc:title>
  <dc:subject/>
  <dc:creator> ЦНТИ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