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A6F16">
      <w:pPr>
        <w:ind w:firstLine="284"/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26429-85</w:t>
      </w: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624.014.2:006.354                                                                                              Группа Ж34</w:t>
      </w: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A6F16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ГОСУДАРСТВЕННЫЙ СТАНДАРТ СОЮЗА ССР </w:t>
      </w:r>
    </w:p>
    <w:p w:rsidR="00000000" w:rsidRDefault="002A6F16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2A6F16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2A6F16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КОНСТРУКЦИИ СТАЛЬНЫЕ ПУТЕЙ ПОДВЕСНОГО ТРАНСПОРТА </w:t>
      </w:r>
    </w:p>
    <w:p w:rsidR="00000000" w:rsidRDefault="002A6F16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2A6F16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Технические условия</w:t>
      </w:r>
    </w:p>
    <w:p w:rsidR="00000000" w:rsidRDefault="002A6F16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2A6F16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Ste</w:t>
      </w:r>
      <w:r>
        <w:rPr>
          <w:rFonts w:ascii="Times New Roman" w:hAnsi="Times New Roman"/>
          <w:sz w:val="20"/>
        </w:rPr>
        <w:t>el structures of suspended transport tracks.</w:t>
      </w:r>
    </w:p>
    <w:p w:rsidR="00000000" w:rsidRDefault="002A6F16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Specifications</w:t>
      </w:r>
    </w:p>
    <w:p w:rsidR="00000000" w:rsidRDefault="002A6F16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2A6F16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ОКП 52  6235  0100 </w:t>
      </w:r>
    </w:p>
    <w:p w:rsidR="00000000" w:rsidRDefault="002A6F16">
      <w:pPr>
        <w:ind w:firstLine="284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Дата введения 1986-01-01 </w:t>
      </w: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РАЗРАБОТАН Государственным проектным и научно-исследовательским институтом "УкрНИИпроектстальконструкция" Госстроя СССР</w:t>
      </w: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Министерством монтажных и специальных строительных работ СССР</w:t>
      </w: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ИСПОЛНИТЕЛИ</w:t>
      </w: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И.З. Дусавицкий (руководитель темы); В.Л. Гейфман; Л.Д. Кошкин; В.А. Сас; В.Ф. Беляев, канд. техн. наук; Л.И. Алпатов; Г.В. Тесленко; Л.К. Абадулина; Э.М. Кулешова</w:t>
      </w: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ВНЕСЕН Государственным проектным и научн</w:t>
      </w:r>
      <w:r>
        <w:rPr>
          <w:rFonts w:ascii="Times New Roman" w:hAnsi="Times New Roman"/>
          <w:sz w:val="20"/>
        </w:rPr>
        <w:t>о-исследовательским институтом "УкрНИИпроектстальконструкция" Госстроя СССР</w:t>
      </w: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Директор В.Н. Шимановский</w:t>
      </w: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 И ВВЕДЕН В ДЕЙСТВИЕ Постановлением Государственного комитета СССР по делам строительства от 24 января 1985 г. № 13</w:t>
      </w: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ВНЕСЕНА поправка, опубликованная в ИУС № 5 1987 г.</w:t>
      </w: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Настоящий стандарт распространяется на стальные конструкции путей подвесного транспорта (далее - балки) пролетами 3,0; 4,0; 5,5 и 6,0 м, подвешиваемые к стальным и железобетонным конструкциям промышленных предприятий, возводимых </w:t>
      </w:r>
      <w:r>
        <w:rPr>
          <w:rFonts w:ascii="Times New Roman" w:hAnsi="Times New Roman"/>
          <w:sz w:val="20"/>
        </w:rPr>
        <w:t>в районах с расчетной температурой наружного воздуха минус 65° С и выше и сейсмичностью до 9 баллов включительно.</w:t>
      </w: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Балки предназначены для подвесных кранов, электрических канатных и ручных передвижных червячных талей, кошек с подвешенными к ним талями, грузоподъемностью до 5 т включительно.</w:t>
      </w: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A6F16">
      <w:pPr>
        <w:pStyle w:val="Heading"/>
        <w:ind w:firstLine="284"/>
        <w:jc w:val="center"/>
        <w:rPr>
          <w:rFonts w:ascii="Times New Roman" w:hAnsi="Times New Roman"/>
          <w:caps/>
          <w:sz w:val="20"/>
        </w:rPr>
      </w:pPr>
      <w:r>
        <w:rPr>
          <w:rFonts w:ascii="Times New Roman" w:hAnsi="Times New Roman"/>
          <w:caps/>
          <w:sz w:val="20"/>
        </w:rPr>
        <w:t xml:space="preserve">1. Основные размеры </w:t>
      </w: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Балки должны изготовляться пролетами 3,0; 4,0; 5,5 (примыкающие к торцам зданий или температурным швам) и 6,0 м, однопролетными и многопролетными.</w:t>
      </w: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Условное обозначение (марку) балки след</w:t>
      </w:r>
      <w:r>
        <w:rPr>
          <w:rFonts w:ascii="Times New Roman" w:hAnsi="Times New Roman"/>
          <w:sz w:val="20"/>
        </w:rPr>
        <w:t>ует принимать по ГОСТ 26047-83.</w:t>
      </w: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A6F16">
      <w:pPr>
        <w:pStyle w:val="Heading"/>
        <w:ind w:firstLine="284"/>
        <w:jc w:val="center"/>
        <w:rPr>
          <w:rFonts w:ascii="Times New Roman" w:hAnsi="Times New Roman"/>
          <w:caps/>
          <w:sz w:val="20"/>
        </w:rPr>
      </w:pPr>
      <w:r>
        <w:rPr>
          <w:rFonts w:ascii="Times New Roman" w:hAnsi="Times New Roman"/>
          <w:caps/>
          <w:sz w:val="20"/>
        </w:rPr>
        <w:t xml:space="preserve">2. Технические требования </w:t>
      </w: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Балки следует изготовлять в соответствии с требованиями настоящего стандарта, ГОСТ 23118-78, СНиП III-18-75 и СНиП III-23-76, по рабочим чертежам серии 1.426.2-3.</w:t>
      </w: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Марка сталей балок и материалы для сварки должны приниматься в соответствии со СНиП II-23-81.</w:t>
      </w: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Балки следует изготовлять из профилей по ГОСТ 19425-74 и ГОСТ 8239-72.</w:t>
      </w: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Сварные заводские и монтажные соединения элементов балок должны выполняться по ГОСТ 8713-79, ГОСТ 52</w:t>
      </w:r>
      <w:r>
        <w:rPr>
          <w:rFonts w:ascii="Times New Roman" w:hAnsi="Times New Roman"/>
          <w:sz w:val="20"/>
        </w:rPr>
        <w:t>64-80 и ГОСТ 14771-76.</w:t>
      </w: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A6F16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поправка 1987 г.)</w:t>
      </w: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Предельные отклонения линейных размеров балок и их деталей от номинальных:</w:t>
      </w: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± 4,0 мм - для балок пролетами 3,0 и 4,0 м;</w:t>
      </w: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± 5,0  "        "       "             "         5,5 и 6,0 м.</w:t>
      </w: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 Предельные отклонения формы балок от проектных: отклонение от прямолинейности полок и стенки балки, а также винтообразность - 0,001 длины отправочного элемента, но не более 10 мм.</w:t>
      </w: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2.7. Для криволинейных участков балок следует принимать те же сечения про</w:t>
      </w:r>
      <w:r>
        <w:rPr>
          <w:rFonts w:ascii="Times New Roman" w:hAnsi="Times New Roman"/>
          <w:sz w:val="20"/>
        </w:rPr>
        <w:t>филей, что и для прямолинейных, при этом наименьший радиус закругления следует принимать по стандартам на подвесной транспорт, предусматривая дополнительные крепления на криволинейном участке.</w:t>
      </w: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криволинейных участках балок не допускается устройство монтажных и температурных стыков.</w:t>
      </w: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2.8. В узлах соединения балок со строительными конструкциями должна быть предусмотрена возможность продольной, поперечной и вертикальной рихтовки. Вертикальный рихтовочный зазор должен быть не менее 30 мм за счет монтажных ша</w:t>
      </w:r>
      <w:r>
        <w:rPr>
          <w:rFonts w:ascii="Times New Roman" w:hAnsi="Times New Roman"/>
          <w:sz w:val="20"/>
        </w:rPr>
        <w:t>йб толщиной 5 и 10 мм по рабочим чертежам серии 1.426.2-3, а продольный и поперечный - 40 мм.</w:t>
      </w: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2.9. Стыковые швы нижнего пояса балок должны быть зачищены (на ездовой поверхности) заподлицо с основным металлом.</w:t>
      </w: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2.10. Для крепления балок следует применять болты по ГОСТ 15589-70, ГОСТ 15591-70, ГОСТ 7796-70 и ГОСТ 7798-70 классов прочности 5.8 или 8.8 по ГОСТ 1759-70.</w:t>
      </w: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Гайки - по ГОСТ 5915-70 класса прочности 4 или 6 по ГОСТ 1759-70. Шайбы - по ГОСТ 11371-78, ГОСТ 10906-78.</w:t>
      </w: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2.11. В узлах соединения балок с к</w:t>
      </w:r>
      <w:r>
        <w:rPr>
          <w:rFonts w:ascii="Times New Roman" w:hAnsi="Times New Roman"/>
          <w:sz w:val="20"/>
        </w:rPr>
        <w:t>онструкциями должны быть предусмотрены меры против развинчивания гаек путем постановки контргаек по ГОСТ 5915-70.</w:t>
      </w: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2.12. Разбивка многопролетных балок на отправочные элементы должна производиться с учетом максимального использования длины поставляемого проката. При этом длина отправочных элементов должна быть не менее двух пролетов и не более 13,7 м. Для отправочных элементов балок, примыкающих к торцам зданий и температурным швам, допускается принимать длину менее двух пролетов.</w:t>
      </w: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2.13. Балки должны быть за</w:t>
      </w:r>
      <w:r>
        <w:rPr>
          <w:rFonts w:ascii="Times New Roman" w:hAnsi="Times New Roman"/>
          <w:sz w:val="20"/>
        </w:rPr>
        <w:t>щищены от коррозии в соответствии со СНиП II-28-73.</w:t>
      </w: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2.14. По внешнему виду окраска балок должна соответствовать V классу по ГОСТ 9.032-74.</w:t>
      </w: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A6F16">
      <w:pPr>
        <w:pStyle w:val="Heading"/>
        <w:ind w:firstLine="284"/>
        <w:jc w:val="center"/>
        <w:rPr>
          <w:rFonts w:ascii="Times New Roman" w:hAnsi="Times New Roman"/>
          <w:caps/>
          <w:sz w:val="20"/>
        </w:rPr>
      </w:pPr>
      <w:r>
        <w:rPr>
          <w:rFonts w:ascii="Times New Roman" w:hAnsi="Times New Roman"/>
          <w:caps/>
          <w:sz w:val="20"/>
        </w:rPr>
        <w:lastRenderedPageBreak/>
        <w:t xml:space="preserve">3. Комплектность </w:t>
      </w: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Балки должны поставляться комплектно. В состав комплекта должны входить:</w:t>
      </w: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балки двутавровые;</w:t>
      </w: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монтажные шайбы для рихтовки толщиной 5 и 10 мм - по 8 шт. на каждое закрепление балки;</w:t>
      </w: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болты, гайки, шайбы;</w:t>
      </w: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техническая документация в соответствии с требованиями ГОСТ 23118-78.</w:t>
      </w: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A6F16">
      <w:pPr>
        <w:pStyle w:val="Heading"/>
        <w:ind w:firstLine="284"/>
        <w:jc w:val="center"/>
        <w:rPr>
          <w:rFonts w:ascii="Times New Roman" w:hAnsi="Times New Roman"/>
          <w:caps/>
          <w:sz w:val="20"/>
        </w:rPr>
      </w:pPr>
      <w:r>
        <w:rPr>
          <w:rFonts w:ascii="Times New Roman" w:hAnsi="Times New Roman"/>
          <w:caps/>
          <w:sz w:val="20"/>
        </w:rPr>
        <w:t xml:space="preserve">4. Правила приемки </w:t>
      </w: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Балки должны приниматься техническим контроле</w:t>
      </w:r>
      <w:r>
        <w:rPr>
          <w:rFonts w:ascii="Times New Roman" w:hAnsi="Times New Roman"/>
          <w:sz w:val="20"/>
        </w:rPr>
        <w:t>м предприятия-изготовителя партиями. Партией следует считать балки для одного механизма и одного заказа.</w:t>
      </w: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Размер партии балок устанавливается по согласованию между изготовителем и потребителем, но общей длиной не более 120 м.</w:t>
      </w: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Для контроля размеров и отклонений формы, а также качества сварных соединений из каждой партии отбирают балки общей длиной не менее 10% от партии, но не менее одной штуки.</w:t>
      </w: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Такое же количество балок отбирают для контроля качества антикоррозионного покрытия.</w:t>
      </w: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 При получении не</w:t>
      </w:r>
      <w:r>
        <w:rPr>
          <w:rFonts w:ascii="Times New Roman" w:hAnsi="Times New Roman"/>
          <w:sz w:val="20"/>
        </w:rPr>
        <w:t>удовлетворительных результатов контроля хотя бы по одному из показателей качества, по этому показателю проводят повторную проверку удвоенной длины балок, отобранных от той же партии.</w:t>
      </w: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случае неудовлетворительных результатов повторной проверки, партия балок бракуется.</w:t>
      </w: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 Потребитель имеет право проводить контрольную проверку соответствия балок требованиям настоящего стандарта, соблюдая при этом приведенный порядок отбора балок и применяя указанные методы контроля.</w:t>
      </w: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A6F16">
      <w:pPr>
        <w:pStyle w:val="Heading"/>
        <w:ind w:firstLine="284"/>
        <w:jc w:val="center"/>
        <w:rPr>
          <w:rFonts w:ascii="Times New Roman" w:hAnsi="Times New Roman"/>
          <w:caps/>
          <w:sz w:val="20"/>
        </w:rPr>
      </w:pPr>
      <w:r>
        <w:rPr>
          <w:rFonts w:ascii="Times New Roman" w:hAnsi="Times New Roman"/>
          <w:caps/>
          <w:sz w:val="20"/>
        </w:rPr>
        <w:t xml:space="preserve">5. Методы контроля </w:t>
      </w: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 Качество ста</w:t>
      </w:r>
      <w:r>
        <w:rPr>
          <w:rFonts w:ascii="Times New Roman" w:hAnsi="Times New Roman"/>
          <w:sz w:val="20"/>
        </w:rPr>
        <w:t>ли и сварочных материалов (п. 2.2) должно быть удостоверено сертификатами предприятий-поставщиков или по данным лаборатории предприятия-изготовителя.</w:t>
      </w: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 Контроль качества сварных швов и их размеров (п. 2.4) следует производить в соответствии со СНиП III-18-75.</w:t>
      </w: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 Линейные размеры балок (п. 2.5) и их деталей контролируют рулеткой класса 2 по ГОСТ 7502-80, металлической линейкой по ГОСТ 427-75 и штангенциркулем по ГОСТ 166-80.</w:t>
      </w: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 Отклонение от прямолинейности (п. 2.6) проверяют измерением металлическ</w:t>
      </w:r>
      <w:r>
        <w:rPr>
          <w:rFonts w:ascii="Times New Roman" w:hAnsi="Times New Roman"/>
          <w:sz w:val="20"/>
        </w:rPr>
        <w:t>ой линейкой по ГОСТ 427-75 зазора между полкой или стенкой балки и натянутой струной, закрепленной по концам полки или стенки балки.</w:t>
      </w: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5.5. Контроль качества защитных покрытий от коррозии (п. 2.13) следует производить в соответствии со СНиП III-23-76.</w:t>
      </w: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5.6. Качество поверхности (п. 2.14) отобранных балок определяют визуально сравнением с образцом-эталоном, утвержденным в установленном порядке.</w:t>
      </w: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A6F16">
      <w:pPr>
        <w:pStyle w:val="Heading"/>
        <w:ind w:firstLine="284"/>
        <w:jc w:val="center"/>
        <w:rPr>
          <w:rFonts w:ascii="Times New Roman" w:hAnsi="Times New Roman"/>
          <w:caps/>
          <w:sz w:val="20"/>
        </w:rPr>
      </w:pPr>
      <w:r>
        <w:rPr>
          <w:rFonts w:ascii="Times New Roman" w:hAnsi="Times New Roman"/>
          <w:caps/>
          <w:sz w:val="20"/>
        </w:rPr>
        <w:t xml:space="preserve">6. Маркировка, упаковка, транспортирование и хранение </w:t>
      </w: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6.1. Марку отправочных элементов следует устанавливать по Г</w:t>
      </w:r>
      <w:r>
        <w:rPr>
          <w:rFonts w:ascii="Times New Roman" w:hAnsi="Times New Roman"/>
          <w:sz w:val="20"/>
        </w:rPr>
        <w:t>ОСТ 26047-83.</w:t>
      </w: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Пример:</w:t>
      </w:r>
    </w:p>
    <w:p w:rsidR="00000000" w:rsidRDefault="002A6F16">
      <w:pPr>
        <w:ind w:firstLine="284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225 - 21 - МР2 - 3 ГОСТ 26429-85,</w:t>
      </w: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где 225 - номер заказа, 21 - номер чертежа КМД, МР2 - марка отправочного элемента в чертежах КМД, 3 - порядковый номер изготовления.</w:t>
      </w: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Маркировочные знаки должны наноситься на стенку балки несмываемой краской.</w:t>
      </w: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6.2. Каждая партия балок должна сопровождаться сертификатом в соответствии со СНиП III-18-75.</w:t>
      </w: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6.3. Балки следует упаковывать в пакеты по чертежам предприятия-изготовителя, утвержденным в установленном порядке. Упаковка пакетов должна обеспечив</w:t>
      </w:r>
      <w:r>
        <w:rPr>
          <w:rFonts w:ascii="Times New Roman" w:hAnsi="Times New Roman"/>
          <w:sz w:val="20"/>
        </w:rPr>
        <w:t>ать сохранность покрытия от механических повреждений. Масса пакета должна быть оговорена потребителем в заказе.</w:t>
      </w: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Монтажные шайбы, болты, гайки и шайбы следует упаковывать в металлическую тару по ГОСТ 19822-81 или в деревянную по ГОСТ 2991-76.</w:t>
      </w: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6.4. Балки должны транспортироваться и храниться с опиранием на деревянные подкладки и прокладки.</w:t>
      </w: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Подкладки должны быть толщиной не менее 50 мм при транспортировании и 150 мм при хранении, шириной в обоих случаях не менее 100 мм. Прокладки должны быть толщиной не мен</w:t>
      </w:r>
      <w:r>
        <w:rPr>
          <w:rFonts w:ascii="Times New Roman" w:hAnsi="Times New Roman"/>
          <w:sz w:val="20"/>
        </w:rPr>
        <w:t>ее 25 мм и шириной не менее 100 мм.</w:t>
      </w: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Длина подкладок и прокладок должна быть больше габарита опирания балок не менее чем на 100 мм.</w:t>
      </w: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6.5. Условия транспортирования балок при воздействии климатических факторов - Ж1, условия хранения - Ж2 по ГОСТ 15150-69.</w:t>
      </w: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A6F16">
      <w:pPr>
        <w:pStyle w:val="Heading"/>
        <w:ind w:firstLine="284"/>
        <w:jc w:val="center"/>
        <w:rPr>
          <w:rFonts w:ascii="Times New Roman" w:hAnsi="Times New Roman"/>
          <w:caps/>
          <w:sz w:val="20"/>
        </w:rPr>
      </w:pPr>
      <w:r>
        <w:rPr>
          <w:rFonts w:ascii="Times New Roman" w:hAnsi="Times New Roman"/>
          <w:caps/>
          <w:sz w:val="20"/>
        </w:rPr>
        <w:t xml:space="preserve">7. Указания по монтажу </w:t>
      </w: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7.1. Монтаж балок следует производить в соответствии с требованиями СНиП III-18-75.</w:t>
      </w: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A6F16">
      <w:pPr>
        <w:ind w:firstLine="284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СОДЕРЖАНИЕ</w:t>
      </w:r>
    </w:p>
    <w:p w:rsidR="00000000" w:rsidRDefault="002A6F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A6F16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Основные размеры</w:t>
      </w:r>
    </w:p>
    <w:p w:rsidR="00000000" w:rsidRDefault="002A6F16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Технические требования</w:t>
      </w:r>
    </w:p>
    <w:p w:rsidR="00000000" w:rsidRDefault="002A6F16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Комплектность</w:t>
      </w:r>
    </w:p>
    <w:p w:rsidR="00000000" w:rsidRDefault="002A6F16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Правила приемки</w:t>
      </w:r>
    </w:p>
    <w:p w:rsidR="00000000" w:rsidRDefault="002A6F16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Методы контроля</w:t>
      </w:r>
    </w:p>
    <w:p w:rsidR="00000000" w:rsidRDefault="002A6F16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Маркировка, упаковка, транспор</w:t>
      </w:r>
      <w:r>
        <w:rPr>
          <w:rFonts w:ascii="Times New Roman" w:hAnsi="Times New Roman"/>
        </w:rPr>
        <w:t>тирование и хранение</w:t>
      </w:r>
    </w:p>
    <w:p w:rsidR="00000000" w:rsidRDefault="002A6F16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Указания по монтажу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6F16"/>
    <w:rsid w:val="002A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1267</Words>
  <Characters>7225</Characters>
  <Application>Microsoft Office Word</Application>
  <DocSecurity>0</DocSecurity>
  <Lines>60</Lines>
  <Paragraphs>16</Paragraphs>
  <ScaleCrop>false</ScaleCrop>
  <Company>Elcom Ltd</Company>
  <LinksUpToDate>false</LinksUpToDate>
  <CharactersWithSpaces>8476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26429-85</dc:title>
  <dc:subject/>
  <dc:creator>CNTI</dc:creator>
  <cp:keywords/>
  <dc:description/>
  <cp:lastModifiedBy>Parhomeiai</cp:lastModifiedBy>
  <cp:revision>2</cp:revision>
  <dcterms:created xsi:type="dcterms:W3CDTF">2013-04-11T10:54:00Z</dcterms:created>
  <dcterms:modified xsi:type="dcterms:W3CDTF">2013-04-11T10:54:00Z</dcterms:modified>
</cp:coreProperties>
</file>