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4323">
      <w:pPr>
        <w:widowControl/>
        <w:ind w:firstLine="284"/>
        <w:jc w:val="right"/>
      </w:pPr>
      <w:bookmarkStart w:id="0" w:name="_GoBack"/>
      <w:bookmarkEnd w:id="0"/>
      <w:r>
        <w:t>ГОСТ 27330-87</w:t>
      </w:r>
    </w:p>
    <w:p w:rsidR="00000000" w:rsidRDefault="00EC4323">
      <w:pPr>
        <w:widowControl/>
        <w:ind w:firstLine="284"/>
        <w:jc w:val="right"/>
      </w:pPr>
    </w:p>
    <w:p w:rsidR="00000000" w:rsidRDefault="00EC4323">
      <w:pPr>
        <w:widowControl/>
        <w:ind w:firstLine="284"/>
        <w:jc w:val="center"/>
      </w:pPr>
      <w:r>
        <w:t>УДК 697.356:006-354                                                                                                Группа Г45</w:t>
      </w:r>
    </w:p>
    <w:p w:rsidR="00000000" w:rsidRDefault="00EC4323">
      <w:pPr>
        <w:widowControl/>
        <w:ind w:firstLine="284"/>
        <w:jc w:val="center"/>
      </w:pPr>
    </w:p>
    <w:p w:rsidR="00000000" w:rsidRDefault="00EC4323">
      <w:pPr>
        <w:widowControl/>
        <w:ind w:firstLine="284"/>
        <w:jc w:val="center"/>
      </w:pPr>
      <w:r>
        <w:t>ГОСУДАРСТВЕННЫЙ СТАНДАРТ СОЮЗА ССР</w:t>
      </w:r>
    </w:p>
    <w:p w:rsidR="00000000" w:rsidRDefault="00EC4323">
      <w:pPr>
        <w:widowControl/>
        <w:ind w:firstLine="284"/>
        <w:jc w:val="center"/>
      </w:pPr>
    </w:p>
    <w:p w:rsidR="00000000" w:rsidRDefault="00EC4323">
      <w:pPr>
        <w:widowControl/>
        <w:ind w:firstLine="284"/>
        <w:jc w:val="center"/>
        <w:rPr>
          <w:b/>
        </w:rPr>
      </w:pPr>
      <w:r>
        <w:rPr>
          <w:b/>
        </w:rPr>
        <w:t>ВОЗДУХОНАГРЕВАТЕЛИ</w:t>
      </w:r>
    </w:p>
    <w:p w:rsidR="00000000" w:rsidRDefault="00EC4323">
      <w:pPr>
        <w:widowControl/>
        <w:ind w:firstLine="284"/>
        <w:jc w:val="center"/>
        <w:rPr>
          <w:b/>
        </w:rPr>
      </w:pPr>
      <w:r>
        <w:rPr>
          <w:b/>
        </w:rPr>
        <w:t>ТИПЫ И ПАРАМЕТРЫ</w:t>
      </w:r>
    </w:p>
    <w:p w:rsidR="00000000" w:rsidRDefault="00EC4323">
      <w:pPr>
        <w:widowControl/>
        <w:ind w:firstLine="284"/>
        <w:jc w:val="center"/>
      </w:pPr>
    </w:p>
    <w:p w:rsidR="00000000" w:rsidRDefault="00EC4323">
      <w:pPr>
        <w:widowControl/>
        <w:ind w:firstLine="284"/>
        <w:jc w:val="center"/>
      </w:pPr>
      <w:r>
        <w:t xml:space="preserve">Air heaters. </w:t>
      </w:r>
    </w:p>
    <w:p w:rsidR="00000000" w:rsidRDefault="00EC4323">
      <w:pPr>
        <w:widowControl/>
        <w:ind w:firstLine="284"/>
        <w:jc w:val="center"/>
      </w:pPr>
      <w:r>
        <w:t>Types and parameters</w:t>
      </w:r>
    </w:p>
    <w:p w:rsidR="00000000" w:rsidRDefault="00EC4323">
      <w:pPr>
        <w:widowControl/>
        <w:ind w:firstLine="284"/>
        <w:jc w:val="right"/>
        <w:rPr>
          <w:u w:val="single"/>
        </w:rPr>
      </w:pPr>
      <w:r>
        <w:t>Срок д</w:t>
      </w:r>
      <w:r>
        <w:t xml:space="preserve">ействия </w:t>
      </w:r>
      <w:r>
        <w:rPr>
          <w:u w:val="single"/>
        </w:rPr>
        <w:t>с 01.01.89*</w:t>
      </w:r>
    </w:p>
    <w:p w:rsidR="00000000" w:rsidRDefault="00EC4323">
      <w:pPr>
        <w:widowControl/>
        <w:ind w:firstLine="284"/>
        <w:jc w:val="right"/>
      </w:pPr>
    </w:p>
    <w:p w:rsidR="00000000" w:rsidRDefault="00EC4323">
      <w:pPr>
        <w:widowControl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EC4323">
      <w:pPr>
        <w:widowControl/>
        <w:ind w:firstLine="284"/>
        <w:jc w:val="center"/>
        <w:rPr>
          <w:b/>
        </w:rPr>
      </w:pPr>
    </w:p>
    <w:p w:rsidR="00000000" w:rsidRDefault="00EC4323">
      <w:pPr>
        <w:widowControl/>
        <w:ind w:firstLine="284"/>
        <w:jc w:val="both"/>
      </w:pPr>
      <w:r>
        <w:t>Изменение № 1 ГОСТ 27330-87 утвержденное и введенное в действие Постановлением Государственного комитета СССР по стандартам от 24.10.88 № 3492 (Дата введения 01.07.89) внесено в текст документа. Измененные пункты отмечены знаком *. (ИУС № 1 1989 г.)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  <w:r>
        <w:t>Настоящий стандарт распространяется на воздухонагреватели общего назначения для систем кондиционирования воздуха и вентиляции, осуществляющие нагревание воздуха с использованием теплоты горячей</w:t>
      </w:r>
      <w:r>
        <w:t xml:space="preserve"> (или перегретой) воды или водяного пара, поступающих от внешних источников.</w:t>
      </w:r>
    </w:p>
    <w:p w:rsidR="00000000" w:rsidRDefault="00EC4323">
      <w:pPr>
        <w:widowControl/>
        <w:ind w:firstLine="284"/>
        <w:jc w:val="both"/>
      </w:pPr>
      <w:r>
        <w:t>Стандарт не распространяется на воздухонагреватели специального назначения и исполнения (воздухонагреватели кондиционеров, воздушно-отопительных агрегатов, транспортных средств, технологи</w:t>
      </w:r>
      <w:r>
        <w:softHyphen/>
        <w:t>ческие, сейсмостойкие и др.).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pStyle w:val="1"/>
        <w:widowControl/>
        <w:spacing w:before="0" w:after="0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</w:t>
      </w:r>
    </w:p>
    <w:p w:rsidR="00000000" w:rsidRDefault="00EC4323"/>
    <w:p w:rsidR="00000000" w:rsidRDefault="00EC4323">
      <w:pPr>
        <w:widowControl/>
        <w:ind w:firstLine="284"/>
        <w:jc w:val="both"/>
      </w:pPr>
      <w:r>
        <w:t>Типы воздухонагревателей:</w:t>
      </w:r>
    </w:p>
    <w:p w:rsidR="00000000" w:rsidRDefault="00EC4323">
      <w:pPr>
        <w:widowControl/>
        <w:ind w:firstLine="284"/>
        <w:jc w:val="both"/>
      </w:pPr>
      <w:r>
        <w:t>по виду теплоносителя:</w:t>
      </w:r>
    </w:p>
    <w:p w:rsidR="00000000" w:rsidRDefault="00EC4323">
      <w:pPr>
        <w:widowControl/>
        <w:ind w:firstLine="284"/>
        <w:jc w:val="both"/>
      </w:pPr>
      <w:r>
        <w:t>ВНВ - воздухонагреватель водяной,</w:t>
      </w:r>
    </w:p>
    <w:p w:rsidR="00000000" w:rsidRDefault="00EC4323">
      <w:pPr>
        <w:widowControl/>
        <w:ind w:firstLine="284"/>
        <w:jc w:val="both"/>
      </w:pPr>
      <w:r>
        <w:t>ВНП - воздухонагреватель паровой;</w:t>
      </w:r>
    </w:p>
    <w:p w:rsidR="00000000" w:rsidRDefault="00EC4323">
      <w:pPr>
        <w:widowControl/>
        <w:ind w:firstLine="284"/>
        <w:jc w:val="both"/>
      </w:pPr>
      <w:r>
        <w:t>по конструкции поверхности теплообмена:</w:t>
      </w:r>
    </w:p>
    <w:p w:rsidR="00000000" w:rsidRDefault="00EC4323">
      <w:pPr>
        <w:widowControl/>
        <w:ind w:firstLine="284"/>
        <w:jc w:val="both"/>
      </w:pPr>
      <w:r>
        <w:t>1 - с трубчато-ребристой спирально-навивной или сп</w:t>
      </w:r>
      <w:r>
        <w:t>ирально-накатной поверхности теплообмена,</w:t>
      </w:r>
    </w:p>
    <w:p w:rsidR="00000000" w:rsidRDefault="00EC4323">
      <w:pPr>
        <w:widowControl/>
        <w:ind w:firstLine="284"/>
        <w:jc w:val="both"/>
      </w:pPr>
      <w:r>
        <w:t>2 - с пластинчато-трубчатой поверхностью теплообмена,</w:t>
      </w:r>
    </w:p>
    <w:p w:rsidR="00000000" w:rsidRDefault="00EC4323">
      <w:pPr>
        <w:widowControl/>
        <w:ind w:firstLine="284"/>
        <w:jc w:val="both"/>
      </w:pPr>
      <w:r>
        <w:t>3 - с другой конструкцией поверхности теплообмена</w:t>
      </w:r>
    </w:p>
    <w:p w:rsidR="00000000" w:rsidRDefault="00EC4323">
      <w:pPr>
        <w:widowControl/>
        <w:ind w:firstLine="284"/>
        <w:jc w:val="both"/>
      </w:pPr>
      <w:r>
        <w:t>по материалу труб и ребер поверхности теплообмена:</w:t>
      </w:r>
    </w:p>
    <w:p w:rsidR="00000000" w:rsidRDefault="00EC4323">
      <w:pPr>
        <w:widowControl/>
        <w:ind w:firstLine="284"/>
        <w:jc w:val="both"/>
      </w:pPr>
      <w:r>
        <w:t>1 - из углеродистой стали,</w:t>
      </w:r>
    </w:p>
    <w:p w:rsidR="00000000" w:rsidRDefault="00EC4323">
      <w:pPr>
        <w:widowControl/>
        <w:ind w:firstLine="284"/>
        <w:jc w:val="both"/>
      </w:pPr>
      <w:r>
        <w:t>2 - из нержавеющей стали или титановых сплавов,</w:t>
      </w:r>
    </w:p>
    <w:p w:rsidR="00000000" w:rsidRDefault="00EC4323">
      <w:pPr>
        <w:widowControl/>
        <w:ind w:firstLine="284"/>
        <w:jc w:val="both"/>
      </w:pPr>
      <w:r>
        <w:t>3 - из алюминия или алюминиевых сплавов,</w:t>
      </w:r>
    </w:p>
    <w:p w:rsidR="00000000" w:rsidRDefault="00EC4323">
      <w:pPr>
        <w:widowControl/>
        <w:ind w:firstLine="284"/>
        <w:jc w:val="both"/>
      </w:pPr>
      <w:r>
        <w:t>4 - из меди или медных сплавов.</w:t>
      </w:r>
    </w:p>
    <w:p w:rsidR="00000000" w:rsidRDefault="00EC4323">
      <w:pPr>
        <w:widowControl/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водяного нагревателя с трубчато-ребристой спирально-накатной поверхностью теплообмена, выполненной из труб из углеродистой стали и ребер и</w:t>
      </w:r>
      <w:r>
        <w:t>з алюминиевых сплавов:</w:t>
      </w:r>
    </w:p>
    <w:p w:rsidR="00000000" w:rsidRDefault="00EC4323">
      <w:pPr>
        <w:widowControl/>
        <w:ind w:firstLine="284"/>
        <w:jc w:val="center"/>
        <w:rPr>
          <w:i/>
        </w:rPr>
      </w:pPr>
      <w:r>
        <w:rPr>
          <w:i/>
        </w:rPr>
        <w:t>ВНВ113</w:t>
      </w:r>
    </w:p>
    <w:p w:rsidR="00000000" w:rsidRDefault="00EC4323">
      <w:pPr>
        <w:widowControl/>
        <w:ind w:firstLine="284"/>
        <w:jc w:val="both"/>
      </w:pPr>
      <w:r>
        <w:t>Воздухонагреватели конкретного типа различают по числу рядов труб (однорядные, двухрядные, трехрядные и т.д.) и по номеру воздухонагревателя, установленному в зависимости от нормального значения производительности по воздуху в соответствии с табл. 1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EC4323">
      <w:pPr>
        <w:widowControl/>
        <w:ind w:firstLine="284"/>
        <w:jc w:val="both"/>
        <w:rPr>
          <w:sz w:val="18"/>
        </w:rPr>
      </w:pPr>
      <w:r>
        <w:rPr>
          <w:sz w:val="18"/>
        </w:rPr>
        <w:t>1. Условное обозначение материала труб и ребер поверхности теплообмена состоит из двух цифр, первая из которых ообзначает материал труб, вторая - материал ребер (обозначения возможных сочетаний материалов труб и ребер п</w:t>
      </w:r>
      <w:r>
        <w:rPr>
          <w:sz w:val="18"/>
        </w:rPr>
        <w:t>риведены в табл.3).</w:t>
      </w:r>
    </w:p>
    <w:p w:rsidR="00000000" w:rsidRDefault="00EC4323">
      <w:pPr>
        <w:widowControl/>
        <w:ind w:firstLine="284"/>
        <w:jc w:val="both"/>
        <w:rPr>
          <w:sz w:val="18"/>
        </w:rPr>
      </w:pPr>
      <w:r>
        <w:rPr>
          <w:sz w:val="18"/>
        </w:rPr>
        <w:t>2. Условное ообзначение не распространяется на воздухонагреватели, разработанные до введения настоящего стандарта.</w:t>
      </w:r>
    </w:p>
    <w:p w:rsidR="00000000" w:rsidRDefault="00EC4323">
      <w:pPr>
        <w:widowControl/>
        <w:ind w:firstLine="284"/>
        <w:jc w:val="both"/>
        <w:rPr>
          <w:sz w:val="18"/>
        </w:rPr>
      </w:pPr>
    </w:p>
    <w:p w:rsidR="00000000" w:rsidRDefault="00EC4323">
      <w:pPr>
        <w:pStyle w:val="1"/>
        <w:widowControl/>
        <w:spacing w:before="0" w:after="0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ПАРАМЕТРЫ</w:t>
      </w:r>
    </w:p>
    <w:p w:rsidR="00000000" w:rsidRDefault="00EC4323"/>
    <w:p w:rsidR="00000000" w:rsidRDefault="00EC4323">
      <w:pPr>
        <w:widowControl/>
        <w:ind w:firstLine="284"/>
        <w:jc w:val="both"/>
      </w:pPr>
      <w:r>
        <w:lastRenderedPageBreak/>
        <w:t>2.1.</w:t>
      </w:r>
      <w:r>
        <w:rPr>
          <w:spacing w:val="20"/>
        </w:rPr>
        <w:t xml:space="preserve"> Параметры условий существования</w:t>
      </w:r>
    </w:p>
    <w:p w:rsidR="00000000" w:rsidRDefault="00EC4323">
      <w:pPr>
        <w:widowControl/>
        <w:ind w:firstLine="284"/>
        <w:jc w:val="both"/>
      </w:pPr>
      <w:r>
        <w:t>2.1.1. Производительность по воздуху (основной входной параметр) должна соответствовать значениям, указанным в табл. 1.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right"/>
      </w:pPr>
      <w:r>
        <w:t>Таблица 1</w:t>
      </w:r>
    </w:p>
    <w:p w:rsidR="00000000" w:rsidRDefault="00EC4323">
      <w:pPr>
        <w:widowControl/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Номер воздухонагре</w:t>
            </w:r>
            <w:r>
              <w:softHyphen/>
              <w:t>вателя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Нормальное значение производительности по воздуху,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Рекомендуемое предельно-разрешенное значение (рабочий интервал при эксплуатации) производительности по воздуху,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2000</w:t>
            </w:r>
          </w:p>
        </w:tc>
        <w:tc>
          <w:tcPr>
            <w:tcW w:w="3685" w:type="dxa"/>
            <w:tcBorders>
              <w:top w:val="nil"/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От 1600 до 2500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2500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2000 « 3150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3150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2500 « 4000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04*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4000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3150 « 5000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05*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5000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4000 « 6300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06*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6300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5000 « 8000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07*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8000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6300 « 10000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08*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10000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8000 « 12500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09*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12500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10000 « 16000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10*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16000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12500 « 20000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11*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20000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16000 « 25000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12*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25000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20000 « 31500 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13*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31500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C4323">
            <w:pPr>
              <w:widowControl/>
              <w:jc w:val="center"/>
            </w:pPr>
            <w:r>
              <w:t>« 25000 « 40000 «</w:t>
            </w:r>
          </w:p>
        </w:tc>
      </w:tr>
    </w:tbl>
    <w:p w:rsidR="00000000" w:rsidRDefault="00EC4323">
      <w:pPr>
        <w:widowControl/>
        <w:ind w:firstLine="284"/>
        <w:jc w:val="both"/>
      </w:pPr>
      <w:r>
        <w:t>___________</w:t>
      </w:r>
    </w:p>
    <w:p w:rsidR="00000000" w:rsidRDefault="00EC4323">
      <w:pPr>
        <w:widowControl/>
        <w:ind w:firstLine="284"/>
        <w:jc w:val="both"/>
      </w:pPr>
      <w:r>
        <w:t>* Воздухонагреватели допускается компоновать из воздухонагре</w:t>
      </w:r>
      <w:r>
        <w:softHyphen/>
        <w:t>вателей меньших номеров.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  <w:r>
        <w:t>2.1.2. Воздух, поступающий в воздухонагревател</w:t>
      </w:r>
      <w:r>
        <w:t>ь, по предельно допустимой концентрации вредных веществ должен соответствовать ГОСТ 12.1.005-76, по содержанию коррозионно-активных агентов - промышленой атмосфере по ГОСТ 15150-69; не должен содержать липких веществ и волокнистых материалов; запыленность не должна быть более 0,5 мг/м</w:t>
      </w:r>
      <w:r>
        <w:rPr>
          <w:vertAlign w:val="superscript"/>
        </w:rPr>
        <w:t>3</w:t>
      </w:r>
      <w:r>
        <w:t>.</w:t>
      </w:r>
    </w:p>
    <w:p w:rsidR="00000000" w:rsidRDefault="00EC4323">
      <w:pPr>
        <w:widowControl/>
        <w:ind w:firstLine="284"/>
        <w:jc w:val="both"/>
      </w:pPr>
      <w:r>
        <w:t>2.1.3. Нормальные и предельные значения климатических факторов внешней среды (температура воздуха и сочетания влажности и температуры) при эксплуатации и испытаниях воздухонагревателей должны соответствовать установленным дл</w:t>
      </w:r>
      <w:r>
        <w:t>я климатических исполнений У, ХЛ или Т, категории размещения 3 ГОСТ 15150-69.</w:t>
      </w:r>
    </w:p>
    <w:p w:rsidR="00000000" w:rsidRDefault="00EC4323">
      <w:pPr>
        <w:widowControl/>
        <w:ind w:firstLine="284"/>
        <w:jc w:val="both"/>
      </w:pPr>
      <w:r>
        <w:t>2.1.4. Горячая (или перегретая) вода или водяной пар (сухой насыщенный или перегретый), поступающие в воздухонагреватель, по качеству и составу должны соответствовать ГОСТ 20995-75 и СНиП II-36-76.</w:t>
      </w:r>
    </w:p>
    <w:p w:rsidR="00000000" w:rsidRDefault="00EC4323">
      <w:pPr>
        <w:widowControl/>
        <w:ind w:firstLine="284"/>
        <w:jc w:val="both"/>
      </w:pPr>
      <w:r>
        <w:t>2.1.5. Среднее квадратическое значение виброскорости внешних источников вибрации в местах установки воздухонагревателей не должно превышать 2 мм/с.</w:t>
      </w:r>
    </w:p>
    <w:p w:rsidR="00000000" w:rsidRDefault="00EC4323">
      <w:pPr>
        <w:widowControl/>
        <w:ind w:firstLine="284"/>
        <w:jc w:val="both"/>
      </w:pPr>
      <w:r>
        <w:t xml:space="preserve">2.2. </w:t>
      </w:r>
      <w:r>
        <w:rPr>
          <w:spacing w:val="20"/>
        </w:rPr>
        <w:t>Параметры изделий</w:t>
      </w:r>
    </w:p>
    <w:p w:rsidR="00000000" w:rsidRDefault="00EC4323">
      <w:pPr>
        <w:widowControl/>
        <w:ind w:firstLine="284"/>
        <w:jc w:val="both"/>
      </w:pPr>
      <w:r>
        <w:t>2.2.1. Исходные параметры управления (типовые теплотехнические, а</w:t>
      </w:r>
      <w:r>
        <w:t>эродинамические и гидравлические характеристики в виде степенных зависимостей коэффициента теплопередачи, аэродинамического или гидравлического сопротивления от массовой скорости набегающего потока воздуха и (или) скорости воды в трубках) и выходные функциональные зависимые параметры (коэффициент теплопередачи, аэродинамическое и гидравлическое сопротивление) воздухонагре</w:t>
      </w:r>
      <w:r>
        <w:softHyphen/>
        <w:t>вателей должны быть установлены в соответствии с ГОСТ 26548-85 в технических условиях для конкретного типоразмерного ряда на основании ре</w:t>
      </w:r>
      <w:r>
        <w:t>зультатов приемочных испытаний опытных образцов воздухонагревателей конкретного типа.</w:t>
      </w:r>
    </w:p>
    <w:p w:rsidR="00000000" w:rsidRDefault="00EC4323">
      <w:pPr>
        <w:widowControl/>
        <w:ind w:firstLine="284"/>
        <w:jc w:val="both"/>
      </w:pPr>
      <w:r>
        <w:t>2.2.2. По заданным в технических условиях значениям коэффициента теплопередачи, аэродинамического и гидравлического сопротивлений контролируют качество воздухонагревателей при производстве и эксплуатации. Допускаемые при периодических испытаниях и эксплуатации отклонения коэффициента теплопередачи, аэродинамического и гидравлического сопротивлений от установленных значений должны соответствовать указанным в табл. 2.</w:t>
      </w:r>
    </w:p>
    <w:p w:rsidR="00000000" w:rsidRDefault="00EC4323">
      <w:pPr>
        <w:widowControl/>
        <w:ind w:firstLine="284"/>
        <w:jc w:val="right"/>
      </w:pPr>
    </w:p>
    <w:p w:rsidR="00000000" w:rsidRDefault="00EC4323">
      <w:pPr>
        <w:widowControl/>
        <w:ind w:firstLine="284"/>
        <w:jc w:val="right"/>
      </w:pPr>
      <w:r>
        <w:t>Табли</w:t>
      </w:r>
      <w:r>
        <w:t>ца 2</w:t>
      </w:r>
    </w:p>
    <w:p w:rsidR="00000000" w:rsidRDefault="00EC4323">
      <w:pPr>
        <w:widowControl/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Наименование проверяемого параметра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Допускаемые отклонения, %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EC4323">
            <w:pPr>
              <w:widowControl/>
              <w:jc w:val="center"/>
            </w:pPr>
            <w:r>
              <w:t>Методы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EC4323">
            <w:pPr>
              <w:widowControl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при периодических испытаниях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при эксплуатации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EC4323">
            <w:pPr>
              <w:widowControl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right w:val="nil"/>
            </w:tcBorders>
          </w:tcPr>
          <w:p w:rsidR="00000000" w:rsidRDefault="00EC4323">
            <w:pPr>
              <w:widowControl/>
              <w:jc w:val="both"/>
            </w:pPr>
            <w:r>
              <w:t>Коэффициент теплопередачи, Вт/(м</w:t>
            </w:r>
            <w:r>
              <w:rPr>
                <w:vertAlign w:val="superscript"/>
              </w:rPr>
              <w:t>2</w:t>
            </w:r>
            <w:r>
              <w:fldChar w:fldCharType="begin"/>
            </w:r>
            <w:r>
              <w:instrText>SYMBOL</w:instrText>
            </w:r>
            <w:r>
              <w:instrText xml:space="preserve"> 183 \f "Times New Roman" \s 8</w:instrText>
            </w:r>
            <w:r>
              <w:fldChar w:fldCharType="separate"/>
            </w:r>
            <w:r>
              <w:t>·</w:t>
            </w:r>
            <w:r>
              <w:fldChar w:fldCharType="end"/>
            </w:r>
            <w:r>
              <w:fldChar w:fldCharType="begin"/>
            </w:r>
            <w:r>
              <w:instrText>SYMBOL</w:instrText>
            </w:r>
            <w:r>
              <w:instrText xml:space="preserve"> 176 \f "Times New Roman" \s 8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С)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rPr>
                <w:position w:val="-18"/>
              </w:rPr>
              <w:object w:dxaOrig="4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1.75pt" o:ole="">
                  <v:imagedata r:id="rId4" o:title=""/>
                </v:shape>
                <o:OLEObject Type="Embed" ProgID="Equation.3" ShapeID="_x0000_i1025" DrawAspect="Content" ObjectID="_1427203628" r:id="rId5"/>
              </w:objec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rPr>
                <w:position w:val="-18"/>
              </w:rPr>
              <w:object w:dxaOrig="400" w:dyaOrig="440">
                <v:shape id="_x0000_i1026" type="#_x0000_t75" style="width:20.25pt;height:21.75pt" o:ole="">
                  <v:imagedata r:id="rId6" o:title=""/>
                </v:shape>
                <o:OLEObject Type="Embed" ProgID="Equation.3" ShapeID="_x0000_i1026" DrawAspect="Content" ObjectID="_1427203629" r:id="rId7"/>
              </w:objec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000000" w:rsidRDefault="00EC4323">
            <w:pPr>
              <w:widowControl/>
              <w:jc w:val="both"/>
            </w:pPr>
            <w:r>
              <w:t>По ГОСТ 26548-85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EC4323">
            <w:pPr>
              <w:widowControl/>
              <w:jc w:val="both"/>
            </w:pPr>
            <w:r>
              <w:t>Аэродинамическое сопротивление, Па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rPr>
                <w:position w:val="-28"/>
              </w:rPr>
              <w:object w:dxaOrig="400" w:dyaOrig="680">
                <v:shape id="_x0000_i1027" type="#_x0000_t75" style="width:17.25pt;height:29.25pt" o:ole="">
                  <v:imagedata r:id="rId8" o:title=""/>
                </v:shape>
                <o:OLEObject Type="Embed" ProgID="Equation.3" ShapeID="_x0000_i1027" DrawAspect="Content" ObjectID="_1427203630" r:id="rId9"/>
              </w:objec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rPr>
                <w:position w:val="-28"/>
              </w:rPr>
              <w:object w:dxaOrig="460" w:dyaOrig="680">
                <v:shape id="_x0000_i1028" type="#_x0000_t75" style="width:19.5pt;height:29.25pt" o:ole="">
                  <v:imagedata r:id="rId10" o:title=""/>
                </v:shape>
                <o:OLEObject Type="Embed" ProgID="Equation.3" ShapeID="_x0000_i1028" DrawAspect="Content" ObjectID="_1427203631" r:id="rId11"/>
              </w:objec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843" w:type="dxa"/>
            <w:tcBorders>
              <w:left w:val="nil"/>
            </w:tcBorders>
          </w:tcPr>
          <w:p w:rsidR="00000000" w:rsidRDefault="00EC4323">
            <w:pPr>
              <w:widowControl/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EC4323">
            <w:pPr>
              <w:widowControl/>
              <w:jc w:val="both"/>
            </w:pPr>
            <w:r>
              <w:t>Гидравлическое сопротивление, Па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fldChar w:fldCharType="begin"/>
            </w:r>
            <w:r>
              <w:instrText>SYMBOL</w:instrText>
            </w:r>
            <w:r>
              <w:instrText xml:space="preserve"> 177 \f "Times New Roman" \s 8</w:instrText>
            </w:r>
            <w:r>
              <w:fldChar w:fldCharType="separate"/>
            </w:r>
            <w:r>
              <w:t>±</w:t>
            </w:r>
            <w:r>
              <w:fldChar w:fldCharType="end"/>
            </w: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fldChar w:fldCharType="begin"/>
            </w:r>
            <w:r>
              <w:instrText>SYMBOL</w:instrText>
            </w:r>
            <w:r>
              <w:instrText xml:space="preserve"> 177 \f "Times New Roman" \s 8</w:instrText>
            </w:r>
            <w:r>
              <w:fldChar w:fldCharType="separate"/>
            </w:r>
            <w:r>
              <w:t>±</w:t>
            </w:r>
            <w:r>
              <w:fldChar w:fldCharType="end"/>
            </w:r>
            <w:r>
              <w:t>20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EC4323">
            <w:pPr>
              <w:widowControl/>
              <w:jc w:val="both"/>
            </w:pPr>
            <w:r>
              <w:t>«</w:t>
            </w:r>
          </w:p>
        </w:tc>
      </w:tr>
    </w:tbl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  <w:r>
        <w:t>2.2.3.* Основные показатели технического уровня и качества воздухонагревателей дифференцированные по ступеням технического уровня и качества продукции должны соответствовать значениям показателей, приведенным в табл. 3.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right"/>
      </w:pPr>
      <w:r>
        <w:t>Таблица 3*</w:t>
      </w:r>
    </w:p>
    <w:p w:rsidR="00000000" w:rsidRDefault="00EC4323">
      <w:pPr>
        <w:widowControl/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14"/>
        <w:gridCol w:w="914"/>
        <w:gridCol w:w="1007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center"/>
            </w:pPr>
            <w:r>
              <w:t>Наименование показателя</w:t>
            </w:r>
          </w:p>
        </w:tc>
        <w:tc>
          <w:tcPr>
            <w:tcW w:w="5670" w:type="dxa"/>
            <w:gridSpan w:val="4"/>
          </w:tcPr>
          <w:p w:rsidR="00000000" w:rsidRDefault="00EC4323">
            <w:pPr>
              <w:widowControl/>
              <w:jc w:val="center"/>
            </w:pPr>
            <w:r>
              <w:t>Значение показателя для воздухонагревателя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ВНВ113,</w:t>
            </w:r>
          </w:p>
          <w:p w:rsidR="00000000" w:rsidRDefault="00EC4323">
            <w:pPr>
              <w:widowControl/>
              <w:jc w:val="center"/>
            </w:pPr>
            <w:r>
              <w:t>ВНВ123,</w:t>
            </w:r>
          </w:p>
          <w:p w:rsidR="00000000" w:rsidRDefault="00EC4323">
            <w:pPr>
              <w:widowControl/>
              <w:jc w:val="center"/>
            </w:pPr>
            <w:r>
              <w:t>ВНВ143,</w:t>
            </w:r>
          </w:p>
          <w:p w:rsidR="00000000" w:rsidRDefault="00EC4323">
            <w:pPr>
              <w:widowControl/>
              <w:jc w:val="center"/>
            </w:pPr>
            <w:r>
              <w:t>ВНП113,</w:t>
            </w:r>
          </w:p>
          <w:p w:rsidR="00000000" w:rsidRDefault="00EC4323">
            <w:pPr>
              <w:widowControl/>
              <w:jc w:val="center"/>
            </w:pPr>
            <w:r>
              <w:t>ВНП123,</w:t>
            </w:r>
          </w:p>
          <w:p w:rsidR="00000000" w:rsidRDefault="00EC4323">
            <w:pPr>
              <w:widowControl/>
              <w:jc w:val="center"/>
            </w:pPr>
            <w:r>
              <w:t>ВНП143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ВНВ111,</w:t>
            </w:r>
          </w:p>
          <w:p w:rsidR="00000000" w:rsidRDefault="00EC4323">
            <w:pPr>
              <w:widowControl/>
              <w:jc w:val="center"/>
            </w:pPr>
            <w:r>
              <w:t>ВНВ211,</w:t>
            </w:r>
          </w:p>
          <w:p w:rsidR="00000000" w:rsidRDefault="00EC4323">
            <w:pPr>
              <w:widowControl/>
              <w:jc w:val="center"/>
            </w:pPr>
            <w:r>
              <w:t>ВНП111,</w:t>
            </w:r>
          </w:p>
          <w:p w:rsidR="00000000" w:rsidRDefault="00EC4323">
            <w:pPr>
              <w:widowControl/>
              <w:jc w:val="center"/>
            </w:pPr>
            <w:r>
              <w:t>ВНП211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ВНВ233,</w:t>
            </w:r>
          </w:p>
          <w:p w:rsidR="00000000" w:rsidRDefault="00EC4323">
            <w:pPr>
              <w:widowControl/>
              <w:jc w:val="center"/>
            </w:pPr>
            <w:r>
              <w:t>ВНВ243,</w:t>
            </w:r>
          </w:p>
          <w:p w:rsidR="00000000" w:rsidRDefault="00EC4323">
            <w:pPr>
              <w:widowControl/>
              <w:jc w:val="center"/>
            </w:pPr>
            <w:r>
              <w:t>ВНП233,</w:t>
            </w:r>
          </w:p>
          <w:p w:rsidR="00000000" w:rsidRDefault="00EC4323">
            <w:pPr>
              <w:widowControl/>
              <w:jc w:val="center"/>
            </w:pPr>
            <w:r>
              <w:t>ВНП243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ВНВ33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Приведенная производительность по теплу, 10</w:t>
            </w:r>
            <w:r>
              <w:rPr>
                <w:vertAlign w:val="superscript"/>
              </w:rPr>
              <w:t>-3</w:t>
            </w:r>
            <w:r>
              <w:t xml:space="preserve"> кВт/(ряд</w:t>
            </w:r>
            <w:r>
              <w:fldChar w:fldCharType="begin"/>
            </w:r>
            <w:r>
              <w:instrText>SYMBOL</w:instrText>
            </w:r>
            <w:r>
              <w:instrText xml:space="preserve"> 183 \f "Times New</w:instrText>
            </w:r>
            <w:r>
              <w:instrText xml:space="preserve"> Roman" \s 8</w:instrText>
            </w:r>
            <w:r>
              <w:fldChar w:fldCharType="separate"/>
            </w:r>
            <w:r>
              <w:t>·</w:t>
            </w:r>
            <w:r>
              <w:fldChar w:fldCharType="end"/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/ч):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6,9</w:t>
            </w:r>
            <w:r>
              <w:rPr>
                <w:position w:val="-10"/>
              </w:rPr>
              <w:object w:dxaOrig="220" w:dyaOrig="360">
                <v:shape id="_x0000_i1029" type="#_x0000_t75" style="width:11.25pt;height:18pt" o:ole="">
                  <v:imagedata r:id="rId12" o:title=""/>
                </v:shape>
                <o:OLEObject Type="Embed" ProgID="Equation.3" ShapeID="_x0000_i1029" DrawAspect="Content" ObjectID="_1427203632" r:id="rId13"/>
              </w:object>
            </w:r>
            <w:r>
              <w:t>0,4</w: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5,3</w:t>
            </w:r>
            <w:r>
              <w:rPr>
                <w:position w:val="-10"/>
              </w:rPr>
              <w:object w:dxaOrig="220" w:dyaOrig="360">
                <v:shape id="_x0000_i1030" type="#_x0000_t75" style="width:11.25pt;height:18pt" o:ole="">
                  <v:imagedata r:id="rId12" o:title=""/>
                </v:shape>
                <o:OLEObject Type="Embed" ProgID="Equation.3" ShapeID="_x0000_i1030" DrawAspect="Content" ObjectID="_1427203633" r:id="rId14"/>
              </w:object>
            </w:r>
            <w:r>
              <w:t>0,3</w: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7,4</w:t>
            </w:r>
            <w:r>
              <w:rPr>
                <w:position w:val="-10"/>
              </w:rPr>
              <w:object w:dxaOrig="220" w:dyaOrig="360">
                <v:shape id="_x0000_i1031" type="#_x0000_t75" style="width:11.25pt;height:18pt" o:ole="">
                  <v:imagedata r:id="rId12" o:title=""/>
                </v:shape>
                <o:OLEObject Type="Embed" ProgID="Equation.3" ShapeID="_x0000_i1031" DrawAspect="Content" ObjectID="_1427203634" r:id="rId15"/>
              </w:object>
            </w:r>
            <w:r>
              <w:t>0,4</w: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5,8</w:t>
            </w:r>
            <w:r>
              <w:rPr>
                <w:position w:val="-10"/>
              </w:rPr>
              <w:object w:dxaOrig="220" w:dyaOrig="360">
                <v:shape id="_x0000_i1032" type="#_x0000_t75" style="width:11.25pt;height:18pt" o:ole="">
                  <v:imagedata r:id="rId12" o:title=""/>
                </v:shape>
                <o:OLEObject Type="Embed" ProgID="Equation.3" ShapeID="_x0000_i1032" DrawAspect="Content" ObjectID="_1427203635" r:id="rId16"/>
              </w:object>
            </w:r>
            <w:r>
              <w:t>0,3</w: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8,2</w:t>
            </w:r>
            <w:r>
              <w:rPr>
                <w:position w:val="-10"/>
              </w:rPr>
              <w:object w:dxaOrig="220" w:dyaOrig="360">
                <v:shape id="_x0000_i1033" type="#_x0000_t75" style="width:11.25pt;height:18pt" o:ole="">
                  <v:imagedata r:id="rId12" o:title=""/>
                </v:shape>
                <o:OLEObject Type="Embed" ProgID="Equation.3" ShapeID="_x0000_i1033" DrawAspect="Content" ObjectID="_1427203636" r:id="rId17"/>
              </w:object>
            </w:r>
            <w:r>
              <w:t>0,5</w:t>
            </w:r>
          </w:p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6"/>
              </w:rPr>
              <w:t>6,4</w:t>
            </w:r>
            <w:r>
              <w:rPr>
                <w:position w:val="-10"/>
              </w:rPr>
              <w:object w:dxaOrig="220" w:dyaOrig="360">
                <v:shape id="_x0000_i1034" type="#_x0000_t75" style="width:11.25pt;height:18pt" o:ole="">
                  <v:imagedata r:id="rId12" o:title=""/>
                </v:shape>
                <o:OLEObject Type="Embed" ProgID="Equation.3" ShapeID="_x0000_i1034" DrawAspect="Content" ObjectID="_1427203637" r:id="rId18"/>
              </w:object>
            </w:r>
            <w:r>
              <w:t>0,4</w:t>
            </w:r>
          </w:p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Удельный расход энергии на преодоление аэродинамического сопротивления, 10</w:t>
            </w:r>
            <w:r>
              <w:rPr>
                <w:vertAlign w:val="superscript"/>
              </w:rPr>
              <w:t>-5</w:t>
            </w:r>
            <w:r>
              <w:t xml:space="preserve"> кВт/кВт: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115</w:t>
            </w:r>
            <w:r>
              <w:rPr>
                <w:position w:val="-28"/>
              </w:rPr>
              <w:object w:dxaOrig="220" w:dyaOrig="680">
                <v:shape id="_x0000_i1035" type="#_x0000_t75" style="width:6.75pt;height:24.75pt" o:ole="">
                  <v:imagedata r:id="rId19" o:title=""/>
                </v:shape>
                <o:OLEObject Type="Embed" ProgID="Equation.3" ShapeID="_x0000_i1035" DrawAspect="Content" ObjectID="_1427203638" r:id="rId20"/>
              </w:object>
            </w:r>
            <w:r>
              <w:t>16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110</w:t>
            </w:r>
            <w:r>
              <w:rPr>
                <w:position w:val="-28"/>
              </w:rPr>
              <w:object w:dxaOrig="220" w:dyaOrig="680">
                <v:shape id="_x0000_i1036" type="#_x0000_t75" style="width:6.75pt;height:24.75pt" o:ole="">
                  <v:imagedata r:id="rId19" o:title=""/>
                </v:shape>
                <o:OLEObject Type="Embed" ProgID="Equation.3" ShapeID="_x0000_i1036" DrawAspect="Content" ObjectID="_1427203639" r:id="rId21"/>
              </w:object>
            </w:r>
            <w:r>
              <w:t>15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100</w:t>
            </w:r>
            <w:r>
              <w:rPr>
                <w:position w:val="-28"/>
              </w:rPr>
              <w:object w:dxaOrig="220" w:dyaOrig="680">
                <v:shape id="_x0000_i1037" type="#_x0000_t75" style="width:6.75pt;height:24.75pt" o:ole="">
                  <v:imagedata r:id="rId19" o:title=""/>
                </v:shape>
                <o:OLEObject Type="Embed" ProgID="Equation.3" ShapeID="_x0000_i1037" DrawAspect="Content" ObjectID="_1427203640" r:id="rId22"/>
              </w:object>
            </w:r>
            <w:r>
              <w:t>15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95</w:t>
            </w:r>
            <w:r>
              <w:rPr>
                <w:position w:val="-28"/>
              </w:rPr>
              <w:object w:dxaOrig="220" w:dyaOrig="680">
                <v:shape id="_x0000_i1038" type="#_x0000_t75" style="width:6.75pt;height:24.75pt" o:ole="">
                  <v:imagedata r:id="rId19" o:title=""/>
                </v:shape>
                <o:OLEObject Type="Embed" ProgID="Equation.3" ShapeID="_x0000_i1038" DrawAspect="Content" ObjectID="_1427203641" r:id="rId23"/>
              </w:object>
            </w:r>
            <w:r>
              <w:t>1</w:t>
            </w:r>
            <w:r>
              <w:t>4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90</w:t>
            </w:r>
            <w:r>
              <w:rPr>
                <w:position w:val="-28"/>
              </w:rPr>
              <w:object w:dxaOrig="220" w:dyaOrig="680">
                <v:shape id="_x0000_i1039" type="#_x0000_t75" style="width:6.75pt;height:24.75pt" o:ole="">
                  <v:imagedata r:id="rId19" o:title=""/>
                </v:shape>
                <o:OLEObject Type="Embed" ProgID="Equation.3" ShapeID="_x0000_i1039" DrawAspect="Content" ObjectID="_1427203642" r:id="rId24"/>
              </w:object>
            </w:r>
            <w:r>
              <w:t>14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110</w:t>
            </w:r>
            <w:r>
              <w:rPr>
                <w:position w:val="-28"/>
              </w:rPr>
              <w:object w:dxaOrig="220" w:dyaOrig="680">
                <v:shape id="_x0000_i1040" type="#_x0000_t75" style="width:6.75pt;height:24.75pt" o:ole="">
                  <v:imagedata r:id="rId19" o:title=""/>
                </v:shape>
                <o:OLEObject Type="Embed" ProgID="Equation.3" ShapeID="_x0000_i1040" DrawAspect="Content" ObjectID="_1427203643" r:id="rId25"/>
              </w:object>
            </w: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Удельная масса, кг/кВт: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0,60</w:t>
            </w:r>
            <w:r>
              <w:rPr>
                <w:position w:val="-28"/>
              </w:rPr>
              <w:object w:dxaOrig="220" w:dyaOrig="680">
                <v:shape id="_x0000_i1041" type="#_x0000_t75" style="width:6.75pt;height:24.75pt" o:ole="">
                  <v:imagedata r:id="rId19" o:title=""/>
                </v:shape>
                <o:OLEObject Type="Embed" ProgID="Equation.3" ShapeID="_x0000_i1041" DrawAspect="Content" ObjectID="_1427203644" r:id="rId26"/>
              </w:object>
            </w:r>
            <w:r>
              <w:t>0,05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1,20</w:t>
            </w:r>
            <w:r>
              <w:rPr>
                <w:position w:val="-28"/>
              </w:rPr>
              <w:object w:dxaOrig="220" w:dyaOrig="680">
                <v:shape id="_x0000_i1042" type="#_x0000_t75" style="width:6.75pt;height:24.75pt" o:ole="">
                  <v:imagedata r:id="rId19" o:title=""/>
                </v:shape>
                <o:OLEObject Type="Embed" ProgID="Equation.3" ShapeID="_x0000_i1042" DrawAspect="Content" ObjectID="_1427203645" r:id="rId27"/>
              </w:object>
            </w:r>
            <w:r>
              <w:t>0,10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0,55</w:t>
            </w:r>
            <w:r>
              <w:rPr>
                <w:position w:val="-28"/>
              </w:rPr>
              <w:object w:dxaOrig="220" w:dyaOrig="680">
                <v:shape id="_x0000_i1043" type="#_x0000_t75" style="width:6.75pt;height:24.75pt" o:ole="">
                  <v:imagedata r:id="rId19" o:title=""/>
                </v:shape>
                <o:OLEObject Type="Embed" ProgID="Equation.3" ShapeID="_x0000_i1043" DrawAspect="Content" ObjectID="_1427203646" r:id="rId28"/>
              </w:object>
            </w:r>
            <w:r>
              <w:t>0,04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1,00</w:t>
            </w:r>
            <w:r>
              <w:rPr>
                <w:position w:val="-28"/>
              </w:rPr>
              <w:object w:dxaOrig="220" w:dyaOrig="680">
                <v:shape id="_x0000_i1044" type="#_x0000_t75" style="width:6.75pt;height:24.75pt" o:ole="">
                  <v:imagedata r:id="rId19" o:title=""/>
                </v:shape>
                <o:OLEObject Type="Embed" ProgID="Equation.3" ShapeID="_x0000_i1044" DrawAspect="Content" ObjectID="_1427203647" r:id="rId29"/>
              </w:object>
            </w:r>
            <w:r>
              <w:t>0,08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0,40</w:t>
            </w:r>
            <w:r>
              <w:rPr>
                <w:position w:val="-28"/>
              </w:rPr>
              <w:object w:dxaOrig="220" w:dyaOrig="680">
                <v:shape id="_x0000_i1045" type="#_x0000_t75" style="width:6.75pt;height:24.75pt" o:ole="">
                  <v:imagedata r:id="rId19" o:title=""/>
                </v:shape>
                <o:OLEObject Type="Embed" ProgID="Equation.3" ShapeID="_x0000_i1045" DrawAspect="Content" ObjectID="_1427203648" r:id="rId30"/>
              </w:object>
            </w:r>
            <w:r>
              <w:t>0,03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0,40</w:t>
            </w:r>
            <w:r>
              <w:rPr>
                <w:position w:val="-28"/>
              </w:rPr>
              <w:object w:dxaOrig="220" w:dyaOrig="680">
                <v:shape id="_x0000_i1046" type="#_x0000_t75" style="width:6.75pt;height:24.75pt" o:ole="">
                  <v:imagedata r:id="rId19" o:title=""/>
                </v:shape>
                <o:OLEObject Type="Embed" ProgID="Equation.3" ShapeID="_x0000_i1046" DrawAspect="Content" ObjectID="_1427203649" r:id="rId31"/>
              </w:object>
            </w: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Удельная площадь, занимаемая воздухонагревателем, 10</w:t>
            </w:r>
            <w:r>
              <w:rPr>
                <w:vertAlign w:val="superscript"/>
              </w:rPr>
              <w:t>-5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/кВт: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190</w:t>
            </w:r>
            <w:r>
              <w:rPr>
                <w:position w:val="-28"/>
              </w:rPr>
              <w:object w:dxaOrig="220" w:dyaOrig="680">
                <v:shape id="_x0000_i1047" type="#_x0000_t75" style="width:6.75pt;height:24.75pt" o:ole="">
                  <v:imagedata r:id="rId19" o:title=""/>
                </v:shape>
                <o:OLEObject Type="Embed" ProgID="Equation.3" ShapeID="_x0000_i1047" DrawAspect="Content" ObjectID="_1427203650" r:id="rId32"/>
              </w:object>
            </w:r>
            <w:r>
              <w:t>12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250</w:t>
            </w:r>
            <w:r>
              <w:rPr>
                <w:position w:val="-28"/>
              </w:rPr>
              <w:object w:dxaOrig="220" w:dyaOrig="680">
                <v:shape id="_x0000_i1048" type="#_x0000_t75" style="width:6.75pt;height:24.75pt" o:ole="">
                  <v:imagedata r:id="rId19" o:title=""/>
                </v:shape>
                <o:OLEObject Type="Embed" ProgID="Equation.3" ShapeID="_x0000_i1048" DrawAspect="Content" ObjectID="_1427203651" r:id="rId33"/>
              </w:object>
            </w:r>
            <w:r>
              <w:t>15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</w:t>
            </w:r>
            <w:r>
              <w:t>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170</w:t>
            </w:r>
            <w:r>
              <w:rPr>
                <w:position w:val="-28"/>
              </w:rPr>
              <w:object w:dxaOrig="220" w:dyaOrig="680">
                <v:shape id="_x0000_i1049" type="#_x0000_t75" style="width:6.75pt;height:24.75pt" o:ole="">
                  <v:imagedata r:id="rId19" o:title=""/>
                </v:shape>
                <o:OLEObject Type="Embed" ProgID="Equation.3" ShapeID="_x0000_i1049" DrawAspect="Content" ObjectID="_1427203652" r:id="rId34"/>
              </w:object>
            </w:r>
            <w:r>
              <w:t>10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t>225</w:t>
            </w:r>
            <w:r>
              <w:rPr>
                <w:position w:val="-28"/>
              </w:rPr>
              <w:object w:dxaOrig="220" w:dyaOrig="680">
                <v:shape id="_x0000_i1050" type="#_x0000_t75" style="width:6.75pt;height:24.75pt" o:ole="">
                  <v:imagedata r:id="rId19" o:title=""/>
                </v:shape>
                <o:OLEObject Type="Embed" ProgID="Equation.3" ShapeID="_x0000_i1050" DrawAspect="Content" ObjectID="_1427203653" r:id="rId35"/>
              </w:object>
            </w:r>
            <w:r>
              <w:t>13</w: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160</w:t>
            </w:r>
            <w:r>
              <w:rPr>
                <w:position w:val="-28"/>
              </w:rPr>
              <w:object w:dxaOrig="220" w:dyaOrig="680">
                <v:shape id="_x0000_i1051" type="#_x0000_t75" style="width:6.75pt;height:24.75pt" o:ole="">
                  <v:imagedata r:id="rId19" o:title=""/>
                </v:shape>
                <o:OLEObject Type="Embed" ProgID="Equation.3" ShapeID="_x0000_i1051" DrawAspect="Content" ObjectID="_1427203654" r:id="rId36"/>
              </w:object>
            </w:r>
            <w:r>
              <w:t>10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150</w:t>
            </w:r>
            <w:r>
              <w:rPr>
                <w:position w:val="-28"/>
              </w:rPr>
              <w:object w:dxaOrig="220" w:dyaOrig="680">
                <v:shape id="_x0000_i1052" type="#_x0000_t75" style="width:6.75pt;height:24.75pt" o:ole="">
                  <v:imagedata r:id="rId19" o:title=""/>
                </v:shape>
                <o:OLEObject Type="Embed" ProgID="Equation.3" ShapeID="_x0000_i1052" DrawAspect="Content" ObjectID="_1427203655" r:id="rId37"/>
              </w:object>
            </w: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Полный установленный ресурс, ч, не менее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object w:dxaOrig="460" w:dyaOrig="420">
                <v:shape id="_x0000_i1053" type="#_x0000_t75" style="width:27pt;height:24pt" o:ole="">
                  <v:imagedata r:id="rId38" o:title=""/>
                </v:shape>
                <o:OLEObject Type="Embed" ProgID="Equation.3" ShapeID="_x0000_i1053" DrawAspect="Content" ObjectID="_1427203656" r:id="rId39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object w:dxaOrig="180" w:dyaOrig="340">
                <v:shape id="_x0000_i1054" type="#_x0000_t75" style="width:9pt;height:17.25pt" o:ole="">
                  <v:imagedata r:id="rId40" o:title=""/>
                </v:shape>
                <o:OLEObject Type="Embed" ProgID="Equation.3" ShapeID="_x0000_i1054" DrawAspect="Content" ObjectID="_1427203657" r:id="rId41"/>
              </w:object>
            </w:r>
            <w:r>
              <w:object w:dxaOrig="680" w:dyaOrig="620">
                <v:shape id="_x0000_i1055" type="#_x0000_t75" style="width:24.75pt;height:22.5pt" o:ole="">
                  <v:imagedata r:id="rId42" o:title=""/>
                </v:shape>
                <o:OLEObject Type="Embed" ProgID="Equation.3" ShapeID="_x0000_i1055" DrawAspect="Content" ObjectID="_1427203658" r:id="rId43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object w:dxaOrig="680" w:dyaOrig="620">
                <v:shape id="_x0000_i1056" type="#_x0000_t75" style="width:27pt;height:24.75pt" o:ole="">
                  <v:imagedata r:id="rId44" o:title=""/>
                </v:shape>
                <o:OLEObject Type="Embed" ProgID="Equation.3" ShapeID="_x0000_i1056" DrawAspect="Content" ObjectID="_1427203659" r:id="rId45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object w:dxaOrig="720" w:dyaOrig="620">
                <v:shape id="_x0000_i1057" type="#_x0000_t75" style="width:26.25pt;height:22.5pt" o:ole="">
                  <v:imagedata r:id="rId46" o:title=""/>
                </v:shape>
                <o:OLEObject Type="Embed" ProgID="Equation.3" ShapeID="_x0000_i1057" DrawAspect="Content" ObjectID="_1427203660" r:id="rId47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object w:dxaOrig="680" w:dyaOrig="620">
                <v:shape id="_x0000_i1058" type="#_x0000_t75" style="width:26.25pt;height:24pt" o:ole="">
                  <v:imagedata r:id="rId48" o:title=""/>
                </v:shape>
                <o:OLEObject Type="Embed" ProgID="Equation.3" ShapeID="_x0000_i1058" DrawAspect="Content" ObjectID="_1427203661" r:id="rId49"/>
              </w:objec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object w:dxaOrig="680" w:dyaOrig="620">
                <v:shape id="_x0000_i1059" type="#_x0000_t75" style="width:24.75pt;height:22.5pt" o:ole="">
                  <v:imagedata r:id="rId48" o:title=""/>
                </v:shape>
                <o:OLEObject Type="Embed" ProgID="Equation.3" ShapeID="_x0000_i1059" DrawAspect="Content" ObjectID="_1427203662" r:id="rId5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Установленная безотказная нара</w:t>
            </w:r>
            <w:r>
              <w:softHyphen/>
              <w:t>ботка, ч, не менее: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580" w:dyaOrig="620">
                <v:shape id="_x0000_i1060" type="#_x0000_t75" style="width:22.5pt;height:24pt" o:ole="">
                  <v:imagedata r:id="rId51" o:title=""/>
                </v:shape>
                <o:OLEObject Type="Embed" ProgID="Equation.3" ShapeID="_x0000_i1060" DrawAspect="Content" ObjectID="_1427203663" r:id="rId52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580" w:dyaOrig="620">
                <v:shape id="_x0000_i1061" type="#_x0000_t75" style="width:24pt;height:25.5pt" o:ole="">
                  <v:imagedata r:id="rId51" o:title=""/>
                </v:shape>
                <o:OLEObject Type="Embed" ProgID="Equation.3" ShapeID="_x0000_i1061" DrawAspect="Content" ObjectID="_1427203664" r:id="rId53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</w:t>
            </w:r>
            <w:r>
              <w:t>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2" type="#_x0000_t75" style="width:24pt;height:24.75pt" o:ole="">
                  <v:imagedata r:id="rId54" o:title=""/>
                </v:shape>
                <o:OLEObject Type="Embed" ProgID="Equation.3" ShapeID="_x0000_i1062" DrawAspect="Content" ObjectID="_1427203665" r:id="rId55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3" type="#_x0000_t75" style="width:24.75pt;height:25.5pt" o:ole="">
                  <v:imagedata r:id="rId56" o:title=""/>
                </v:shape>
                <o:OLEObject Type="Embed" ProgID="Equation.3" ShapeID="_x0000_i1063" DrawAspect="Content" ObjectID="_1427203666" r:id="rId57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4" type="#_x0000_t75" style="width:26.25pt;height:27pt" o:ole="">
                  <v:imagedata r:id="rId56" o:title=""/>
                </v:shape>
                <o:OLEObject Type="Embed" ProgID="Equation.3" ShapeID="_x0000_i1064" DrawAspect="Content" ObjectID="_1427203667" r:id="rId58"/>
              </w:objec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5" type="#_x0000_t75" style="width:24.75pt;height:25.5pt" o:ole="">
                  <v:imagedata r:id="rId59" o:title=""/>
                </v:shape>
                <o:OLEObject Type="Embed" ProgID="Equation.3" ShapeID="_x0000_i1065" DrawAspect="Content" ObjectID="_1427203668" r:id="rId6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Средняя наработка на отказ, ч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1-я ступень - до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6" type="#_x0000_t75" style="width:25.5pt;height:26.25pt" o:ole="">
                  <v:imagedata r:id="rId61" o:title=""/>
                </v:shape>
                <o:OLEObject Type="Embed" ProgID="Equation.3" ShapeID="_x0000_i1066" DrawAspect="Content" ObjectID="_1427203669" r:id="rId62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00" w:dyaOrig="620">
                <v:shape id="_x0000_i1067" type="#_x0000_t75" style="width:24pt;height:24.75pt" o:ole="">
                  <v:imagedata r:id="rId63" o:title=""/>
                </v:shape>
                <o:OLEObject Type="Embed" ProgID="Equation.3" ShapeID="_x0000_i1067" DrawAspect="Content" ObjectID="_1427203670" r:id="rId64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EC4323">
            <w:pPr>
              <w:widowControl/>
              <w:jc w:val="both"/>
            </w:pPr>
            <w:r>
              <w:t>2-я ступень - с 01.01.95</w: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80" w:dyaOrig="620">
                <v:shape id="_x0000_i1068" type="#_x0000_t75" style="width:27pt;height:24.75pt" o:ole="">
                  <v:imagedata r:id="rId65" o:title=""/>
                </v:shape>
                <o:OLEObject Type="Embed" ProgID="Equation.3" ShapeID="_x0000_i1068" DrawAspect="Content" ObjectID="_1427203671" r:id="rId66"/>
              </w:object>
            </w:r>
          </w:p>
        </w:tc>
        <w:tc>
          <w:tcPr>
            <w:tcW w:w="914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80" w:dyaOrig="620">
                <v:shape id="_x0000_i1069" type="#_x0000_t75" style="width:29.25pt;height:27pt" o:ole="">
                  <v:imagedata r:id="rId67" o:title=""/>
                </v:shape>
                <o:OLEObject Type="Embed" ProgID="Equation.3" ShapeID="_x0000_i1069" DrawAspect="Content" ObjectID="_1427203672" r:id="rId68"/>
              </w:object>
            </w:r>
          </w:p>
        </w:tc>
        <w:tc>
          <w:tcPr>
            <w:tcW w:w="1007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80" w:dyaOrig="620">
                <v:shape id="_x0000_i1070" type="#_x0000_t75" style="width:27.75pt;height:25.5pt" o:ole="">
                  <v:imagedata r:id="rId67" o:title=""/>
                </v:shape>
                <o:OLEObject Type="Embed" ProgID="Equation.3" ShapeID="_x0000_i1070" DrawAspect="Content" ObjectID="_1427203673" r:id="rId69"/>
              </w:object>
            </w:r>
          </w:p>
        </w:tc>
        <w:tc>
          <w:tcPr>
            <w:tcW w:w="2835" w:type="dxa"/>
          </w:tcPr>
          <w:p w:rsidR="00000000" w:rsidRDefault="00EC4323">
            <w:pPr>
              <w:widowControl/>
              <w:jc w:val="center"/>
            </w:pPr>
            <w:r>
              <w:rPr>
                <w:position w:val="-24"/>
              </w:rPr>
              <w:object w:dxaOrig="680" w:dyaOrig="620">
                <v:shape id="_x0000_i1071" type="#_x0000_t75" style="width:30pt;height:27pt" o:ole="">
                  <v:imagedata r:id="rId70" o:title=""/>
                </v:shape>
                <o:OLEObject Type="Embed" ProgID="Equation.3" ShapeID="_x0000_i1071" DrawAspect="Content" ObjectID="_1427203674" r:id="rId71"/>
              </w:object>
            </w:r>
          </w:p>
        </w:tc>
      </w:tr>
    </w:tbl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  <w:r>
        <w:t>Примечания:</w:t>
      </w:r>
    </w:p>
    <w:p w:rsidR="00000000" w:rsidRDefault="00EC4323">
      <w:pPr>
        <w:widowControl/>
        <w:ind w:firstLine="284"/>
        <w:jc w:val="both"/>
      </w:pPr>
      <w:r>
        <w:t>1. Нормальные условия существования соответствуют исходным входным и выходным параметрам:</w:t>
      </w:r>
    </w:p>
    <w:p w:rsidR="00000000" w:rsidRDefault="00EC4323">
      <w:pPr>
        <w:widowControl/>
        <w:ind w:firstLine="284"/>
        <w:jc w:val="both"/>
      </w:pPr>
      <w:r>
        <w:t>производительность по воздуху - 4000 м</w:t>
      </w:r>
      <w:r>
        <w:rPr>
          <w:vertAlign w:val="superscript"/>
        </w:rPr>
        <w:t>3</w:t>
      </w:r>
      <w:r>
        <w:t>/ч;</w:t>
      </w:r>
    </w:p>
    <w:p w:rsidR="00000000" w:rsidRDefault="00EC4323">
      <w:pPr>
        <w:widowControl/>
        <w:ind w:firstLine="284"/>
        <w:jc w:val="both"/>
      </w:pPr>
      <w:r>
        <w:t xml:space="preserve">температура воздуха на входе - минус 20 </w:t>
      </w:r>
      <w:r>
        <w:fldChar w:fldCharType="begin"/>
      </w:r>
      <w:r>
        <w:instrText>SYMBOL</w:instrText>
      </w:r>
      <w:r>
        <w:instrText xml:space="preserve"> </w:instrText>
      </w:r>
      <w:r>
        <w:instrText>176 \f "Times New Roman" \s 8</w:instrText>
      </w:r>
      <w:r>
        <w:fldChar w:fldCharType="separate"/>
      </w:r>
      <w:r>
        <w:t>°</w:t>
      </w:r>
      <w:r>
        <w:fldChar w:fldCharType="end"/>
      </w:r>
      <w:r>
        <w:t>С;</w:t>
      </w:r>
    </w:p>
    <w:p w:rsidR="00000000" w:rsidRDefault="00EC4323">
      <w:pPr>
        <w:widowControl/>
        <w:ind w:firstLine="284"/>
        <w:jc w:val="both"/>
      </w:pPr>
      <w:r>
        <w:t xml:space="preserve">температура воды на входе - 150 </w:t>
      </w:r>
      <w:r>
        <w:fldChar w:fldCharType="begin"/>
      </w:r>
      <w:r>
        <w:instrText>SYMBOL</w:instrText>
      </w:r>
      <w:r>
        <w:instrText xml:space="preserve"> 176 \f "Times New Roman" \s 8</w:instrText>
      </w:r>
      <w:r>
        <w:fldChar w:fldCharType="separate"/>
      </w:r>
      <w:r>
        <w:t>°</w:t>
      </w:r>
      <w:r>
        <w:fldChar w:fldCharType="end"/>
      </w:r>
      <w:r>
        <w:t>С;</w:t>
      </w:r>
    </w:p>
    <w:p w:rsidR="00000000" w:rsidRDefault="00EC4323">
      <w:pPr>
        <w:widowControl/>
        <w:ind w:firstLine="284"/>
        <w:jc w:val="both"/>
      </w:pPr>
      <w:r>
        <w:t xml:space="preserve">температура воды на выходе - 70 </w:t>
      </w:r>
      <w:r>
        <w:fldChar w:fldCharType="begin"/>
      </w:r>
      <w:r>
        <w:instrText>SYMBOL</w:instrText>
      </w:r>
      <w:r>
        <w:instrText xml:space="preserve"> 176 \f "Times New Roman" \s 8</w:instrText>
      </w:r>
      <w:r>
        <w:fldChar w:fldCharType="separate"/>
      </w:r>
      <w:r>
        <w:t>°</w:t>
      </w:r>
      <w:r>
        <w:fldChar w:fldCharType="end"/>
      </w:r>
      <w:r>
        <w:t>С;</w:t>
      </w:r>
    </w:p>
    <w:p w:rsidR="00000000" w:rsidRDefault="00EC4323">
      <w:pPr>
        <w:widowControl/>
        <w:ind w:firstLine="284"/>
        <w:jc w:val="both"/>
      </w:pPr>
      <w:r>
        <w:t>давление пара на входе - 0,1 МПа.</w:t>
      </w:r>
    </w:p>
    <w:p w:rsidR="00000000" w:rsidRDefault="00EC4323">
      <w:pPr>
        <w:widowControl/>
        <w:ind w:firstLine="284"/>
        <w:jc w:val="both"/>
      </w:pPr>
      <w:r>
        <w:t>2. В таблице приведены данные типопредставителя трехрядных воздухонагревателей номера 04.</w:t>
      </w:r>
    </w:p>
    <w:p w:rsidR="00000000" w:rsidRDefault="00EC4323">
      <w:pPr>
        <w:widowControl/>
        <w:ind w:firstLine="284"/>
        <w:jc w:val="both"/>
      </w:pPr>
      <w:r>
        <w:t>Значения основных параметров совершенства для других номеров воздухонагревателей устанавливают в соответствующих технических условиях на воздухонагреватели конкретного типа.</w:t>
      </w:r>
    </w:p>
    <w:p w:rsidR="00000000" w:rsidRDefault="00EC4323">
      <w:pPr>
        <w:widowControl/>
        <w:ind w:firstLine="284"/>
        <w:jc w:val="both"/>
      </w:pPr>
      <w:r>
        <w:t>3. Знаки «</w:t>
      </w:r>
      <w:r>
        <w:fldChar w:fldCharType="begin"/>
      </w:r>
      <w:r>
        <w:instrText>SYMBOL</w:instrText>
      </w:r>
      <w:r>
        <w:instrText xml:space="preserve"> 173 \f "Sym</w:instrText>
      </w:r>
      <w:r>
        <w:instrText>bol" \s 8</w:instrText>
      </w:r>
      <w:r>
        <w:fldChar w:fldCharType="separate"/>
      </w:r>
      <w:r>
        <w:t>­</w:t>
      </w:r>
      <w:r>
        <w:fldChar w:fldCharType="end"/>
      </w:r>
      <w:r>
        <w:t>», «</w:t>
      </w:r>
      <w:r>
        <w:fldChar w:fldCharType="begin"/>
      </w:r>
      <w:r>
        <w:instrText>SYMBOL</w:instrText>
      </w:r>
      <w:r>
        <w:instrText xml:space="preserve"> 175 \f "Symbol" \s 8</w:instrText>
      </w:r>
      <w:r>
        <w:fldChar w:fldCharType="separate"/>
      </w:r>
      <w:r>
        <w:t>Ї</w:t>
      </w:r>
      <w:r>
        <w:fldChar w:fldCharType="end"/>
      </w:r>
      <w:r>
        <w:t>» означают, что верхнее или нижнее допускаемое отклонение не регламентируется.</w:t>
      </w:r>
    </w:p>
    <w:p w:rsidR="00000000" w:rsidRDefault="00EC4323">
      <w:pPr>
        <w:widowControl/>
        <w:ind w:firstLine="284"/>
        <w:jc w:val="both"/>
      </w:pPr>
      <w:r>
        <w:t xml:space="preserve">4.* В числителе приведено значение показателя для водяных воздухонагревателей, в знаменателе - для паровых воздухонагревателей. </w:t>
      </w: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1. РАЗРАБОТАН И ВНЕСЕН Министерством строительного, дорожного и коммунального машиностроения СССР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В.А. Динцин, канд. техн. наук (руководитель работы); Б.И. Бялый, канд. техн. наук; В.Н. Бондаренко; Л.С. Еремин; И.М. Пет</w:t>
      </w:r>
      <w:r>
        <w:rPr>
          <w:b/>
        </w:rPr>
        <w:t>лах; Н.А. Кузнецова; Л.В. Корж; Г.А. Герман; И.Г. Сенатов, канд. техн. наук; С.И. Жадин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стандартам от 22.06.87 № 2214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3. Срок проверки - 1992 г., периодичность - 3 года.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4. ВВЕДЕН ВПЕРВЫЕ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МЕНТЫ</w:t>
      </w:r>
    </w:p>
    <w:p w:rsidR="00000000" w:rsidRDefault="00EC4323">
      <w:pPr>
        <w:widowControl/>
        <w:ind w:firstLine="284"/>
        <w:jc w:val="both"/>
        <w:rPr>
          <w:b/>
        </w:rPr>
      </w:pPr>
    </w:p>
    <w:p w:rsidR="00000000" w:rsidRDefault="00EC4323">
      <w:pPr>
        <w:widowControl/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ГОСТ 12.1.005-76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ГОСТ 15150-69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2.1.2, 2.1.3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ГОСТ 20995-75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2.1.4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ГОСТ 26548-85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2.2.1, 2.2.2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EC4323">
            <w:pPr>
              <w:widowControl/>
              <w:jc w:val="center"/>
            </w:pPr>
            <w:r>
              <w:t>СНиП II-36-76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C4323">
            <w:pPr>
              <w:widowControl/>
              <w:jc w:val="center"/>
            </w:pPr>
            <w:r>
              <w:t>2.1.4</w:t>
            </w:r>
          </w:p>
        </w:tc>
      </w:tr>
    </w:tbl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</w:p>
    <w:p w:rsidR="00000000" w:rsidRDefault="00EC4323">
      <w:pPr>
        <w:widowControl/>
        <w:ind w:firstLine="284"/>
        <w:jc w:val="both"/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23"/>
    <w:rsid w:val="00E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image" Target="media/image9.wmf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image" Target="media/image8.wmf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0.bin"/><Relationship Id="rId66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9.bin"/><Relationship Id="rId61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6.wmf"/><Relationship Id="rId31" Type="http://schemas.openxmlformats.org/officeDocument/2006/relationships/oleObject" Target="embeddings/oleObject22.bin"/><Relationship Id="rId44" Type="http://schemas.openxmlformats.org/officeDocument/2006/relationships/image" Target="media/image10.wmf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1.bin"/><Relationship Id="rId65" Type="http://schemas.openxmlformats.org/officeDocument/2006/relationships/image" Target="media/image19.wmf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1.bin"/><Relationship Id="rId48" Type="http://schemas.openxmlformats.org/officeDocument/2006/relationships/image" Target="media/image12.wmf"/><Relationship Id="rId56" Type="http://schemas.openxmlformats.org/officeDocument/2006/relationships/image" Target="media/image15.wmf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6.bin"/><Relationship Id="rId8" Type="http://schemas.openxmlformats.org/officeDocument/2006/relationships/image" Target="media/image3.wmf"/><Relationship Id="rId51" Type="http://schemas.openxmlformats.org/officeDocument/2006/relationships/image" Target="media/image13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image" Target="media/image7.wmf"/><Relationship Id="rId46" Type="http://schemas.openxmlformats.org/officeDocument/2006/relationships/image" Target="media/image11.wmf"/><Relationship Id="rId59" Type="http://schemas.openxmlformats.org/officeDocument/2006/relationships/image" Target="media/image16.wmf"/><Relationship Id="rId67" Type="http://schemas.openxmlformats.org/officeDocument/2006/relationships/image" Target="media/image20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0.bin"/><Relationship Id="rId54" Type="http://schemas.openxmlformats.org/officeDocument/2006/relationships/image" Target="media/image14.wmf"/><Relationship Id="rId62" Type="http://schemas.openxmlformats.org/officeDocument/2006/relationships/oleObject" Target="embeddings/oleObject42.bin"/><Relationship Id="rId70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8486</Characters>
  <Application>Microsoft Office Word</Application>
  <DocSecurity>0</DocSecurity>
  <Lines>70</Lines>
  <Paragraphs>19</Paragraphs>
  <ScaleCrop>false</ScaleCrop>
  <Company>СтройКонсультант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"СтройКонсультант"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