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31D3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27372-87</w:t>
      </w:r>
    </w:p>
    <w:p w:rsidR="00000000" w:rsidRDefault="001631D3">
      <w:pPr>
        <w:jc w:val="right"/>
        <w:rPr>
          <w:rFonts w:ascii="Times New Roman" w:hAnsi="Times New Roman"/>
          <w:sz w:val="20"/>
        </w:rPr>
      </w:pPr>
    </w:p>
    <w:p w:rsidR="00000000" w:rsidRDefault="001631D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69.057.66:006.354                                                                                                     Группа Ж30 </w:t>
      </w: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Люльки для строительно-монтажных работ</w:t>
      </w: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Технические условия </w:t>
      </w:r>
    </w:p>
    <w:p w:rsidR="00000000" w:rsidRDefault="001631D3">
      <w:pPr>
        <w:pStyle w:val="Preformat"/>
        <w:rPr>
          <w:rFonts w:ascii="Times New Roman" w:hAnsi="Times New Roman"/>
        </w:rPr>
      </w:pP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Travellin</w:t>
      </w:r>
      <w:r>
        <w:rPr>
          <w:rFonts w:ascii="Times New Roman" w:hAnsi="Times New Roman"/>
          <w:sz w:val="20"/>
        </w:rPr>
        <w:t>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cradles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constructional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works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631D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48 3580 </w:t>
      </w:r>
    </w:p>
    <w:p w:rsidR="00000000" w:rsidRDefault="001631D3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1989-01-01 </w:t>
      </w:r>
    </w:p>
    <w:p w:rsidR="00000000" w:rsidRDefault="001631D3">
      <w:pPr>
        <w:pStyle w:val="Preformat"/>
        <w:jc w:val="right"/>
        <w:rPr>
          <w:rFonts w:ascii="Times New Roman" w:hAnsi="Times New Roman"/>
        </w:rPr>
      </w:pP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Государственным строительным комитетом СССР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 А. </w:t>
      </w:r>
      <w:proofErr w:type="spellStart"/>
      <w:r>
        <w:rPr>
          <w:rFonts w:ascii="Times New Roman" w:hAnsi="Times New Roman"/>
          <w:sz w:val="20"/>
        </w:rPr>
        <w:t>Гершбейн</w:t>
      </w:r>
      <w:proofErr w:type="spellEnd"/>
      <w:r>
        <w:rPr>
          <w:rFonts w:ascii="Times New Roman" w:hAnsi="Times New Roman"/>
          <w:sz w:val="20"/>
        </w:rPr>
        <w:t xml:space="preserve">; В. П. </w:t>
      </w:r>
      <w:proofErr w:type="spellStart"/>
      <w:r>
        <w:rPr>
          <w:rFonts w:ascii="Times New Roman" w:hAnsi="Times New Roman"/>
          <w:sz w:val="20"/>
        </w:rPr>
        <w:t>Сухачев</w:t>
      </w:r>
      <w:proofErr w:type="spellEnd"/>
      <w:r>
        <w:rPr>
          <w:rFonts w:ascii="Times New Roman" w:hAnsi="Times New Roman"/>
          <w:sz w:val="20"/>
        </w:rPr>
        <w:t xml:space="preserve">; М. А. </w:t>
      </w:r>
      <w:proofErr w:type="spellStart"/>
      <w:r>
        <w:rPr>
          <w:rFonts w:ascii="Times New Roman" w:hAnsi="Times New Roman"/>
          <w:sz w:val="20"/>
        </w:rPr>
        <w:t>Серебрянников</w:t>
      </w:r>
      <w:proofErr w:type="spellEnd"/>
      <w:r>
        <w:rPr>
          <w:rFonts w:ascii="Times New Roman" w:hAnsi="Times New Roman"/>
          <w:sz w:val="20"/>
        </w:rPr>
        <w:t xml:space="preserve">; Ю. Б. Серегин; В. В. </w:t>
      </w:r>
      <w:proofErr w:type="spellStart"/>
      <w:r>
        <w:rPr>
          <w:rFonts w:ascii="Times New Roman" w:hAnsi="Times New Roman"/>
          <w:sz w:val="20"/>
        </w:rPr>
        <w:t>Баконин</w:t>
      </w:r>
      <w:proofErr w:type="spellEnd"/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14.08.87 № 173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</w:t>
            </w:r>
            <w:r>
              <w:rPr>
                <w:rFonts w:ascii="Times New Roman" w:hAnsi="Times New Roman"/>
                <w:sz w:val="20"/>
              </w:rPr>
              <w:t>, подпункта</w:t>
            </w:r>
          </w:p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8.002-86</w:t>
            </w:r>
          </w:p>
        </w:tc>
        <w:tc>
          <w:tcPr>
            <w:tcW w:w="3119" w:type="dxa"/>
            <w:tcBorders>
              <w:top w:val="nil"/>
              <w:left w:val="nil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9.032-74</w:t>
            </w:r>
          </w:p>
        </w:tc>
        <w:tc>
          <w:tcPr>
            <w:tcW w:w="3119" w:type="dxa"/>
            <w:tcBorders>
              <w:left w:val="nil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9.105-80</w:t>
            </w:r>
          </w:p>
        </w:tc>
        <w:tc>
          <w:tcPr>
            <w:tcW w:w="3119" w:type="dxa"/>
            <w:tcBorders>
              <w:left w:val="nil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15.001-73</w:t>
            </w:r>
          </w:p>
        </w:tc>
        <w:tc>
          <w:tcPr>
            <w:tcW w:w="3119" w:type="dxa"/>
            <w:tcBorders>
              <w:left w:val="nil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427-75</w:t>
            </w:r>
          </w:p>
        </w:tc>
        <w:tc>
          <w:tcPr>
            <w:tcW w:w="3119" w:type="dxa"/>
            <w:tcBorders>
              <w:left w:val="nil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3241-91</w:t>
            </w:r>
          </w:p>
        </w:tc>
        <w:tc>
          <w:tcPr>
            <w:tcW w:w="3119" w:type="dxa"/>
            <w:tcBorders>
              <w:left w:val="nil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1.3.2; 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2697-83</w:t>
            </w:r>
          </w:p>
        </w:tc>
        <w:tc>
          <w:tcPr>
            <w:tcW w:w="3119" w:type="dxa"/>
            <w:tcBorders>
              <w:left w:val="nil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3282-74</w:t>
            </w:r>
          </w:p>
        </w:tc>
        <w:tc>
          <w:tcPr>
            <w:tcW w:w="3119" w:type="dxa"/>
            <w:tcBorders>
              <w:left w:val="nil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7502-89</w:t>
            </w:r>
          </w:p>
        </w:tc>
        <w:tc>
          <w:tcPr>
            <w:tcW w:w="3119" w:type="dxa"/>
            <w:tcBorders>
              <w:left w:val="nil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10354-82</w:t>
            </w:r>
          </w:p>
        </w:tc>
        <w:tc>
          <w:tcPr>
            <w:tcW w:w="3119" w:type="dxa"/>
            <w:tcBorders>
              <w:left w:val="nil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12969-67</w:t>
            </w:r>
          </w:p>
        </w:tc>
        <w:tc>
          <w:tcPr>
            <w:tcW w:w="3119" w:type="dxa"/>
            <w:tcBorders>
              <w:left w:val="nil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15150-69</w:t>
            </w:r>
          </w:p>
        </w:tc>
        <w:tc>
          <w:tcPr>
            <w:tcW w:w="3119" w:type="dxa"/>
            <w:tcBorders>
              <w:left w:val="nil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1.3.1;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24258-80</w:t>
            </w:r>
          </w:p>
        </w:tc>
        <w:tc>
          <w:tcPr>
            <w:tcW w:w="3119" w:type="dxa"/>
            <w:tcBorders>
              <w:left w:val="nil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СНиП III-4-80</w:t>
            </w:r>
          </w:p>
        </w:tc>
        <w:tc>
          <w:tcPr>
            <w:tcW w:w="3119" w:type="dxa"/>
            <w:tcBorders>
              <w:left w:val="nil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Переиздание. Март 1992 г.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люльки с электрическим приводом (далее - люльки), применяемые в процессе производства строительно-монтажных работ при возведении, реконструкции и ре</w:t>
      </w:r>
      <w:r>
        <w:rPr>
          <w:rFonts w:ascii="Times New Roman" w:hAnsi="Times New Roman"/>
          <w:sz w:val="20"/>
        </w:rPr>
        <w:t>монте зданий и сооружений для размещения рабочих и материалов непосредственно в зоне производства работ.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 Технические требования</w:t>
      </w: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Люльки должны изготовляться централизованно в соответствии с требованиями настоящего стандарта, "Правилами устройства и безопасной эксплуатации грузоподъемных кранов" Госгортехнадзора СССР, "Правилами устройства электроустановок" Министерства энергетики и электрификации СССР, ГОСТ 24258-88, ГОСТ 15.001-88* по конструкторской документации, утвержденной в установленном по</w:t>
      </w:r>
      <w:r>
        <w:rPr>
          <w:rFonts w:ascii="Times New Roman" w:hAnsi="Times New Roman"/>
          <w:sz w:val="20"/>
        </w:rPr>
        <w:t>рядке.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Основные параметры и размеры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Основные параметры и размеры люлек должны соответствовать указанным в таблице.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1876"/>
        <w:gridCol w:w="1876"/>
        <w:gridCol w:w="18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56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 при грузоподъемности люлек, кг,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параметра</w:t>
            </w:r>
          </w:p>
        </w:tc>
        <w:tc>
          <w:tcPr>
            <w:tcW w:w="1876" w:type="dxa"/>
            <w:tcBorders>
              <w:left w:val="nil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876" w:type="dxa"/>
            <w:tcBorders>
              <w:left w:val="nil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76" w:type="dxa"/>
            <w:tcBorders>
              <w:left w:val="nil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Вместимость, чел., не более</w:t>
            </w:r>
          </w:p>
        </w:tc>
        <w:tc>
          <w:tcPr>
            <w:tcW w:w="18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 рабочего настила:</w:t>
            </w:r>
          </w:p>
        </w:tc>
        <w:tc>
          <w:tcPr>
            <w:tcW w:w="1876" w:type="dxa"/>
            <w:tcBorders>
              <w:left w:val="nil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6" w:type="dxa"/>
            <w:tcBorders>
              <w:left w:val="nil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6" w:type="dxa"/>
            <w:tcBorders>
              <w:left w:val="nil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длина, м, не менее</w:t>
            </w:r>
          </w:p>
        </w:tc>
        <w:tc>
          <w:tcPr>
            <w:tcW w:w="1876" w:type="dxa"/>
            <w:tcBorders>
              <w:left w:val="nil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76" w:type="dxa"/>
            <w:tcBorders>
              <w:left w:val="nil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76" w:type="dxa"/>
            <w:tcBorders>
              <w:left w:val="nil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ширина, м, не менее</w:t>
            </w:r>
          </w:p>
        </w:tc>
        <w:tc>
          <w:tcPr>
            <w:tcW w:w="1876" w:type="dxa"/>
            <w:tcBorders>
              <w:left w:val="nil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876" w:type="dxa"/>
            <w:tcBorders>
              <w:left w:val="nil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876" w:type="dxa"/>
            <w:tcBorders>
              <w:left w:val="nil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Скорость подъема(опускания), м/мин, не более</w:t>
            </w:r>
          </w:p>
        </w:tc>
        <w:tc>
          <w:tcPr>
            <w:tcW w:w="1876" w:type="dxa"/>
            <w:tcBorders>
              <w:left w:val="nil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76" w:type="dxa"/>
            <w:tcBorders>
              <w:left w:val="nil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76" w:type="dxa"/>
            <w:tcBorders>
              <w:left w:val="nil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31D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подъема наибольшая, м</w:t>
            </w:r>
          </w:p>
        </w:tc>
        <w:tc>
          <w:tcPr>
            <w:tcW w:w="18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8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31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Устанавливается следующая структура условного обозначения лю</w:t>
      </w:r>
      <w:r>
        <w:rPr>
          <w:rFonts w:ascii="Times New Roman" w:hAnsi="Times New Roman"/>
          <w:sz w:val="20"/>
        </w:rPr>
        <w:t>лек.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</w:pPr>
      <w:r>
        <w:object w:dxaOrig="7290" w:dyaOrig="2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100.5pt" o:ole="">
            <v:imagedata r:id="rId4" o:title=""/>
          </v:shape>
          <o:OLEObject Type="Embed" ProgID="PBrush" ShapeID="_x0000_i1025" DrawAspect="Content" ObjectID="_1427203372" r:id="rId5"/>
        </w:object>
      </w:r>
    </w:p>
    <w:p w:rsidR="00000000" w:rsidRDefault="001631D3">
      <w:pPr>
        <w:ind w:firstLine="225"/>
        <w:jc w:val="both"/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люльки электрической третьей модификации с наибольшей высотой подъема 150 м и грузоподъемностью 200 кг: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ЛЭ-3 - 150 - 200 ГОСТ 27372-87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Характеристики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Люльки должны изготовляться в климатическом исполнении У по ГОСТ 15150-69.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1.3.2. Канаты люлек должны соответствовать типу </w:t>
      </w:r>
      <w:proofErr w:type="spellStart"/>
      <w:r>
        <w:rPr>
          <w:rFonts w:ascii="Times New Roman" w:hAnsi="Times New Roman"/>
          <w:sz w:val="20"/>
        </w:rPr>
        <w:t>ГЛ-грузолюдские</w:t>
      </w:r>
      <w:proofErr w:type="spellEnd"/>
      <w:r>
        <w:rPr>
          <w:rFonts w:ascii="Times New Roman" w:hAnsi="Times New Roman"/>
          <w:sz w:val="20"/>
        </w:rPr>
        <w:t>, служащие для подъема людей и грузов (только марки ВЭ) по ГОСТ 3241-91.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Диаметр канатов должен быть расчетным, но не менее 7 мм.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 запаса прочнос</w:t>
      </w:r>
      <w:r>
        <w:rPr>
          <w:rFonts w:ascii="Times New Roman" w:hAnsi="Times New Roman"/>
          <w:sz w:val="20"/>
        </w:rPr>
        <w:t>ти грузового каната должен быть не менее 9. Коэффициент запаса прочности каната ловителя по максимальному динамическому усилию при аварийном срабатывании ловителя при обрыве грузового каната должен быть не менее 3.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1.3.3. Изменение параметров и размеров люлек может осуществляться на основе модульного принципа путем вставки (демонтажа) соответствующих модулей (секций).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1.3.4. Ресурс люлек до списания должен быть не менее 3200 </w:t>
      </w:r>
      <w:proofErr w:type="spellStart"/>
      <w:r>
        <w:rPr>
          <w:rFonts w:ascii="Times New Roman" w:hAnsi="Times New Roman"/>
          <w:sz w:val="20"/>
        </w:rPr>
        <w:t>машино-ч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1.3.5. Управление приводом должно производиться из люльки путем непрерывн</w:t>
      </w:r>
      <w:r>
        <w:rPr>
          <w:rFonts w:ascii="Times New Roman" w:hAnsi="Times New Roman"/>
          <w:sz w:val="20"/>
        </w:rPr>
        <w:t>ого нажатия на кнопку аппарата управления.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прекращении нажатия на кнопку привод люльки должен останавливаться.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1.3.6. Люльки должны быть снабжены концевым выключателем, автоматически отключающим электродвигатель привода при подходе люльки к консоли, установленной на крыше здания, на расстояние 0,5-0,6 м.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1.3.7. Связь вала электродвигателя с валом барабана лебедки должна осуществляться с помощью зубчатой или червячной передачи. Использование для этой цели ременных или фрикционных передач, фрикционных и к</w:t>
      </w:r>
      <w:r>
        <w:rPr>
          <w:rFonts w:ascii="Times New Roman" w:hAnsi="Times New Roman"/>
          <w:sz w:val="20"/>
        </w:rPr>
        <w:t>улачковых муфт не допускается.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1.3.8. Лебедки люлек должны быть оборудованы двумя тормозами, действующими автоматически и независимо друг от друга при отключении двигателя лебедки.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Один из тормозов должен быть колодочным с коэффициентом запаса торможения не менее 2. Коэффициент запаса торможения второго тормоза должен быть не менее 1,25.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1.3.9. Люльки должны быть снабжены ловителями. Максимальная высота падения люльки до остановки ее ловителями должна быть не более 0,15 м.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1.3.10. По всему периметру люльки </w:t>
      </w:r>
      <w:r>
        <w:rPr>
          <w:rFonts w:ascii="Times New Roman" w:hAnsi="Times New Roman"/>
          <w:sz w:val="20"/>
        </w:rPr>
        <w:t>должны быть ограждения.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Высота ограждения с нерабочих сторон должна быть не менее 1,20 м, а со стороны фронта работы - не менее 1,00 м.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Высота бортового ограждения по всему периметру люльки должна быть не менее 0,15 м.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 дверей в ограждении люлек не допускается.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1.3.11. Несущие элементы ограждения люлек должны выдерживать нагрузку не менее 700 Н, приложенную к ограждающему поручню в направлении, перпендикулярном к его оси поочередно в горизонтальной и вертикальной плоскостях.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1.3.12. Настил люлек д</w:t>
      </w:r>
      <w:r>
        <w:rPr>
          <w:rFonts w:ascii="Times New Roman" w:hAnsi="Times New Roman"/>
          <w:sz w:val="20"/>
        </w:rPr>
        <w:t>олжен быть сплошным.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1.3.13. Привод люльки должен иметь устройство для ее ручного опускания.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1.3.14. Число зажимов крепления канатов должно быть расчетным, но не менее трех.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1.3.15. Коэффициент устойчивости консоли, уравновешиваемой </w:t>
      </w:r>
      <w:proofErr w:type="spellStart"/>
      <w:r>
        <w:rPr>
          <w:rFonts w:ascii="Times New Roman" w:hAnsi="Times New Roman"/>
          <w:sz w:val="20"/>
        </w:rPr>
        <w:t>пригрузами</w:t>
      </w:r>
      <w:proofErr w:type="spellEnd"/>
      <w:r>
        <w:rPr>
          <w:rFonts w:ascii="Times New Roman" w:hAnsi="Times New Roman"/>
          <w:sz w:val="20"/>
        </w:rPr>
        <w:t>, должен быть не менее 2,2.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Комплектность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1.4.1. В комплект поставки люлек входят: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люлька;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консоли с </w:t>
      </w:r>
      <w:proofErr w:type="spellStart"/>
      <w:r>
        <w:rPr>
          <w:rFonts w:ascii="Times New Roman" w:hAnsi="Times New Roman"/>
          <w:sz w:val="20"/>
        </w:rPr>
        <w:t>пригрузами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грузовой канат с </w:t>
      </w:r>
      <w:proofErr w:type="spellStart"/>
      <w:r>
        <w:rPr>
          <w:rFonts w:ascii="Times New Roman" w:hAnsi="Times New Roman"/>
          <w:sz w:val="20"/>
        </w:rPr>
        <w:t>пригрузами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канат ловителя с </w:t>
      </w:r>
      <w:proofErr w:type="spellStart"/>
      <w:r>
        <w:rPr>
          <w:rFonts w:ascii="Times New Roman" w:hAnsi="Times New Roman"/>
          <w:sz w:val="20"/>
        </w:rPr>
        <w:t>пригрузами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электрокабель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паспорт с инструкцией по эксплуатации.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1.4.2. По согласованию с заказчиком уто</w:t>
      </w:r>
      <w:r>
        <w:rPr>
          <w:rFonts w:ascii="Times New Roman" w:hAnsi="Times New Roman"/>
          <w:sz w:val="20"/>
        </w:rPr>
        <w:t xml:space="preserve">чняется длина канатов и кабеля, число (масса) </w:t>
      </w:r>
      <w:proofErr w:type="spellStart"/>
      <w:r>
        <w:rPr>
          <w:rFonts w:ascii="Times New Roman" w:hAnsi="Times New Roman"/>
          <w:sz w:val="20"/>
        </w:rPr>
        <w:t>пригрузов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Маркировка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1.5.1. Каждая люлька и консоль должны иметь табличку по ГОСТ 12969-67, содержащую следующие данные: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на люльке: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товарный знак (при наличии) и наименование предприятия-изготовителя;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обозначение люльки;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грузоподъемность;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высота подъема (наибольшая);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скорость подъема (опускания);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рабочее напряжение тока;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порядковый номер изделия по системе нумерации предприятия-изготовителя;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месяц и год выпуска;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на консоли: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товарный знак (пр</w:t>
      </w:r>
      <w:r>
        <w:rPr>
          <w:rFonts w:ascii="Times New Roman" w:hAnsi="Times New Roman"/>
          <w:sz w:val="20"/>
        </w:rPr>
        <w:t>и наличии) и наименование предприятия-изготовителя;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грузоподъемность;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вылет;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порядковый номер изделия по системе нумерации предприятия-изготовителя;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месяц и год выпуска.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Упаковка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1.6.1. Люльки и консоли отправляют заказчику без упаковки. При этом электрооборудование люльки обертывают влагонепроницаемой бумагой или кровельным пергамином по ГОСТ 2697-83, или другим влагонепроницаемым материалом.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Канаты и кабель завертываются во влагонепроницаемую бумагу или кровельный пергамин по ГОСТ 2697-83, или другую</w:t>
      </w:r>
      <w:r>
        <w:rPr>
          <w:rFonts w:ascii="Times New Roman" w:hAnsi="Times New Roman"/>
          <w:sz w:val="20"/>
        </w:rPr>
        <w:t xml:space="preserve"> влагонепроницаемую упаковку, укладывают и закрепляют на настиле люльки (при достаточной площади настила).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Пригрузы</w:t>
      </w:r>
      <w:proofErr w:type="spellEnd"/>
      <w:r>
        <w:rPr>
          <w:rFonts w:ascii="Times New Roman" w:hAnsi="Times New Roman"/>
          <w:sz w:val="20"/>
        </w:rPr>
        <w:t xml:space="preserve"> связывают проволокой диаметром не менее 4 мм по ГОСТ 3282-74, укладывают и закрепляют от перемещения на настиле люльки (при достаточной площади настила).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Документация, входящая в комплект поставки, должна быть завернута в пакет из полиэтиленовой пленки по ГОСТ 10354-82 и упакована вместе с кабелем люльки или передана потребителю при получении им люльки.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Приемка</w:t>
      </w: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Для проверки соответст</w:t>
      </w:r>
      <w:r>
        <w:rPr>
          <w:rFonts w:ascii="Times New Roman" w:hAnsi="Times New Roman"/>
          <w:sz w:val="20"/>
        </w:rPr>
        <w:t>вия люлек требованиям настоящего стандарта должны проводиться приемо-сдаточные, периодические и типовые испытания.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Приемо-сдаточные испытания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Приемо-сдаточным испытаниям подвергают каждую люльку и консоль;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включают: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проверку на соответствие конструкторской документации;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проверку качества сварных швов;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проверку качества лакокрасочных покрытий;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проверку комплектности;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проверку маркировки.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Периодические испытания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 Периодическим испытаниям подвергают - 2 % люлек и консолей годового выпу</w:t>
      </w:r>
      <w:r>
        <w:rPr>
          <w:rFonts w:ascii="Times New Roman" w:hAnsi="Times New Roman"/>
          <w:sz w:val="20"/>
        </w:rPr>
        <w:t>ска предприятия-изготовителя, принятых его ОТК, но не менее 3 шт. (в неокрашенном виде); испытания включают: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статические испытания;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динамические испытания;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тормозов;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ловителей.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Статические испытания проводят нагрузкой, превышающей грузоподъемность люлек на 50 %.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2.3.3. Динамические испытания проводят нагрузкой, превышающей грузоподъемность люлек на 10 %.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2.3.4. Испытания тормозов люлек должны производиться последовательно.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2.3.5. Испытания ловителей люлек должны проводиться нагруз</w:t>
      </w:r>
      <w:r>
        <w:rPr>
          <w:rFonts w:ascii="Times New Roman" w:hAnsi="Times New Roman"/>
          <w:sz w:val="20"/>
        </w:rPr>
        <w:t>кой, равной грузоподъемности люльки.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должны производиться не менее трех раз на разной высоте подъема люльки.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Типовые испытания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Типовые испытания проводят при изменении конструкции или назначения люлек. Объем и состав испытаний следует принимать как при периодических испытаниях.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контроля</w:t>
      </w: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Геометрические размеры люлек проверяют рулеткой по ГОСТ 7502-89*, металлической линейкой по ГОСТ 427-75 или другими инструментами, обеспечивающими точность измерения до 1 мм и проверенными мет</w:t>
      </w:r>
      <w:r>
        <w:rPr>
          <w:rFonts w:ascii="Times New Roman" w:hAnsi="Times New Roman"/>
          <w:sz w:val="20"/>
        </w:rPr>
        <w:t>рологическими организациями Госстандарта СССР в соответствии с ГОСТ 8.002-86.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Качество окраски определяют визуально.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Качество материалов устанавливают по сертификатам, а в случае отсутствия таковых - лабораторным анализом.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Канаты, применяемые в люльках, должны иметь свидетельство (сертификат) предприятия-изготовителя об их испытании в соответствии с ГОСТ 3241-91. При отсутствии сертификата канаты должны быть подвергнуты испытаниям в соответствии с ГОСТ 3241-91.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Комплектность люлек провер</w:t>
      </w:r>
      <w:r>
        <w:rPr>
          <w:rFonts w:ascii="Times New Roman" w:hAnsi="Times New Roman"/>
          <w:sz w:val="20"/>
        </w:rPr>
        <w:t>яют, сопоставляя фактическую номенклатуру с ведомостью комплектации, составленной предприятием-изготовителем.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4.Транспортирование и хранение</w:t>
      </w: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Люльки транспортируют и хранят в соответствии с ГОСТ 15150-69 по группе условий хранения ОЖ4 в части воздействия климатических факторов внешней среды.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Указания по эксплуатации</w:t>
      </w: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Люльки должны эксплуатироваться в соответствии со СНиП III-4-80* и инструкцией по эксплуатации.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Гарантии изготовителя</w:t>
      </w:r>
    </w:p>
    <w:p w:rsidR="00000000" w:rsidRDefault="001631D3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Изготовитель гарантирует соответствие выпускаемых люлек треб</w:t>
      </w:r>
      <w:r>
        <w:rPr>
          <w:rFonts w:ascii="Times New Roman" w:hAnsi="Times New Roman"/>
          <w:sz w:val="20"/>
        </w:rPr>
        <w:t>ованиям настоящего стандарта при соблюдении потребителем условий транспортирования, хранения и эксплуатации.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Гарантийный срок эксплуатации - 12 </w:t>
      </w:r>
      <w:proofErr w:type="spellStart"/>
      <w:r>
        <w:rPr>
          <w:rFonts w:ascii="Times New Roman" w:hAnsi="Times New Roman"/>
          <w:sz w:val="20"/>
        </w:rPr>
        <w:t>мес</w:t>
      </w:r>
      <w:proofErr w:type="spellEnd"/>
      <w:r>
        <w:rPr>
          <w:rFonts w:ascii="Times New Roman" w:hAnsi="Times New Roman"/>
          <w:sz w:val="20"/>
        </w:rPr>
        <w:t xml:space="preserve"> со дня начала эксплуатации, но не позднее 18 </w:t>
      </w:r>
      <w:proofErr w:type="spellStart"/>
      <w:r>
        <w:rPr>
          <w:rFonts w:ascii="Times New Roman" w:hAnsi="Times New Roman"/>
          <w:sz w:val="20"/>
        </w:rPr>
        <w:t>мес</w:t>
      </w:r>
      <w:proofErr w:type="spellEnd"/>
      <w:r>
        <w:rPr>
          <w:rFonts w:ascii="Times New Roman" w:hAnsi="Times New Roman"/>
          <w:sz w:val="20"/>
        </w:rPr>
        <w:t xml:space="preserve"> со дня их поступления потребителю.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Изготовитель в течение гарантийного срока безвозмездно ремонтирует или заменяет все элементы и узлы люлек, пришедшие в негодность по его вине. Замена должна производиться в течение одного месяца со дня получения уведомления.</w:t>
      </w:r>
    </w:p>
    <w:p w:rsidR="00000000" w:rsidRDefault="001631D3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1D3"/>
    <w:rsid w:val="001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1482</Words>
  <Characters>8453</Characters>
  <Application>Microsoft Office Word</Application>
  <DocSecurity>0</DocSecurity>
  <Lines>70</Lines>
  <Paragraphs>19</Paragraphs>
  <ScaleCrop>false</ScaleCrop>
  <Company>Elcom Ltd</Company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27372-87</dc:title>
  <dc:subject/>
  <dc:creator>Alexandre Katalov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