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2735">
      <w:pPr>
        <w:jc w:val="right"/>
        <w:rPr>
          <w:sz w:val="24"/>
        </w:rPr>
      </w:pPr>
      <w:bookmarkStart w:id="0" w:name="_GoBack"/>
      <w:bookmarkEnd w:id="0"/>
    </w:p>
    <w:p w:rsidR="00000000" w:rsidRDefault="00F32735">
      <w:pPr>
        <w:jc w:val="right"/>
        <w:rPr>
          <w:sz w:val="24"/>
        </w:rPr>
      </w:pPr>
      <w:r>
        <w:rPr>
          <w:sz w:val="24"/>
        </w:rPr>
        <w:t>ГОСТ 30247.1-94</w:t>
      </w:r>
    </w:p>
    <w:p w:rsidR="00000000" w:rsidRDefault="00F32735">
      <w:pPr>
        <w:jc w:val="right"/>
        <w:rPr>
          <w:sz w:val="24"/>
        </w:rPr>
      </w:pPr>
    </w:p>
    <w:p w:rsidR="00000000" w:rsidRDefault="00F32735">
      <w:pPr>
        <w:jc w:val="right"/>
        <w:rPr>
          <w:sz w:val="24"/>
        </w:rPr>
      </w:pPr>
      <w:r>
        <w:rPr>
          <w:sz w:val="24"/>
        </w:rPr>
        <w:t xml:space="preserve">Группа Ж39 </w:t>
      </w:r>
    </w:p>
    <w:p w:rsidR="00000000" w:rsidRDefault="00F32735">
      <w:pPr>
        <w:pStyle w:val="Aioiaue"/>
        <w:tabs>
          <w:tab w:val="clear" w:pos="9590"/>
        </w:tabs>
        <w:rPr>
          <w:sz w:val="24"/>
        </w:rPr>
      </w:pP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pStyle w:val="H3"/>
        <w:jc w:val="center"/>
      </w:pPr>
      <w:r>
        <w:t>МЕЖГОСУДАРСТВЕННЫЙ СТАНДАРТ</w:t>
      </w:r>
    </w:p>
    <w:p w:rsidR="00000000" w:rsidRDefault="00F32735">
      <w:pPr>
        <w:pStyle w:val="H3"/>
        <w:jc w:val="center"/>
      </w:pPr>
    </w:p>
    <w:p w:rsidR="00000000" w:rsidRDefault="00F32735">
      <w:pPr>
        <w:pStyle w:val="H3"/>
        <w:jc w:val="center"/>
      </w:pPr>
    </w:p>
    <w:p w:rsidR="00000000" w:rsidRDefault="00F32735">
      <w:pPr>
        <w:pStyle w:val="H3"/>
        <w:jc w:val="center"/>
      </w:pPr>
      <w:r>
        <w:t>КОНСТРУКЦИИ СТРОИТЕЛЬНЫЕ</w:t>
      </w:r>
    </w:p>
    <w:p w:rsidR="00000000" w:rsidRDefault="00F32735">
      <w:pPr>
        <w:pStyle w:val="H3"/>
        <w:jc w:val="center"/>
      </w:pPr>
      <w:r>
        <w:t>Методы испытаний на огнестойкость</w:t>
      </w:r>
    </w:p>
    <w:p w:rsidR="00000000" w:rsidRDefault="00F32735">
      <w:pPr>
        <w:pStyle w:val="H3"/>
        <w:jc w:val="center"/>
      </w:pPr>
      <w:r>
        <w:t>Несущие и ограждающие конструкции</w:t>
      </w:r>
    </w:p>
    <w:p w:rsidR="00000000" w:rsidRDefault="00F32735">
      <w:pPr>
        <w:pStyle w:val="H3"/>
        <w:jc w:val="center"/>
      </w:pPr>
    </w:p>
    <w:p w:rsidR="00000000" w:rsidRDefault="00F32735">
      <w:pPr>
        <w:pStyle w:val="H3"/>
        <w:jc w:val="center"/>
      </w:pPr>
      <w:r>
        <w:t>Elements of building constructions.</w:t>
      </w:r>
    </w:p>
    <w:p w:rsidR="00000000" w:rsidRDefault="00F32735">
      <w:pPr>
        <w:pStyle w:val="H3"/>
        <w:jc w:val="center"/>
      </w:pPr>
      <w:r>
        <w:t>Fire-resistance test methods.</w:t>
      </w:r>
    </w:p>
    <w:p w:rsidR="00000000" w:rsidRDefault="00F32735">
      <w:pPr>
        <w:pStyle w:val="H3"/>
        <w:jc w:val="center"/>
      </w:pPr>
      <w:r>
        <w:t>Loadbearing and separating constru</w:t>
      </w:r>
      <w:r>
        <w:t>ctions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ОКС 91.080 </w:t>
      </w:r>
    </w:p>
    <w:p w:rsidR="00000000" w:rsidRDefault="00F32735">
      <w:pPr>
        <w:jc w:val="right"/>
        <w:rPr>
          <w:sz w:val="24"/>
        </w:rPr>
      </w:pPr>
      <w:r>
        <w:rPr>
          <w:sz w:val="24"/>
        </w:rPr>
        <w:t xml:space="preserve">Дата введения 1996-01-01 </w:t>
      </w: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pStyle w:val="H3"/>
        <w:jc w:val="center"/>
      </w:pPr>
      <w:r>
        <w:t>Предисловие</w:t>
      </w:r>
    </w:p>
    <w:p w:rsidR="00000000" w:rsidRDefault="00F32735">
      <w:pPr>
        <w:pStyle w:val="H3"/>
        <w:jc w:val="center"/>
      </w:pPr>
    </w:p>
    <w:p w:rsidR="00000000" w:rsidRDefault="00F32735">
      <w:pPr>
        <w:pStyle w:val="Aioiaue"/>
        <w:tabs>
          <w:tab w:val="clear" w:pos="9590"/>
        </w:tabs>
      </w:pPr>
      <w:r>
        <w:t xml:space="preserve">     </w:t>
      </w:r>
    </w:p>
    <w:p w:rsidR="00000000" w:rsidRDefault="00F32735">
      <w:pPr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 xml:space="preserve"> РАЗРАБОТАН Государственным Центральным научно-исследовательским и проектно-экспериментальным институтом комплексных проблем строительных конструкций и сооружений имени В.А.Кучеренко (ЦНИИСК им.Кучеренко) Минстроя России, Центром противопожарных исследований и тепловой защиты в строительстве ЦНИИСК (ЦПИТЗС ЦНИИСК) и Всероссийским научно-исследовательским институтом противопожарной обороны (ВНИИПО) МВД России 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ВНЕСЕН Минстроем России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2 ПРИ</w:t>
      </w:r>
      <w:r>
        <w:rPr>
          <w:sz w:val="24"/>
        </w:rPr>
        <w:t>НЯТ Межгосударственной научно-технической комиссией по стандартизации и техническому нормированию в строительстве (МНТКС) 17 ноября 1994 г.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За принятие проголосовали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Наименование органа          ¦</w:t>
      </w:r>
    </w:p>
    <w:p w:rsidR="00000000" w:rsidRDefault="00F32735">
      <w:pPr>
        <w:pStyle w:val="Aioiaue"/>
        <w:tabs>
          <w:tab w:val="clear" w:pos="9590"/>
        </w:tabs>
      </w:pPr>
      <w:r>
        <w:lastRenderedPageBreak/>
        <w:t>¦  Наименование государства  ¦     государственного управления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   строительством            ¦</w:t>
      </w:r>
    </w:p>
    <w:p w:rsidR="00000000" w:rsidRDefault="00F32735">
      <w:pPr>
        <w:pStyle w:val="Aioiaue"/>
        <w:tabs>
          <w:tab w:val="clear" w:pos="9590"/>
        </w:tabs>
      </w:pPr>
      <w:r>
        <w:t>+----------------------------+-------------------------------------¦</w:t>
      </w:r>
    </w:p>
    <w:p w:rsidR="00000000" w:rsidRDefault="00F32735">
      <w:pPr>
        <w:pStyle w:val="Aioiaue"/>
        <w:tabs>
          <w:tab w:val="clear" w:pos="9590"/>
        </w:tabs>
      </w:pPr>
      <w:r>
        <w:t>¦Азербайджанская Республика  ¦Госстрой Азербайджанской Республики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       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¦Республика Армения          ¦Госупрархитектуры Республики Армения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       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¦Республика Казахстан        ¦Минстрой Республики Казахстан   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       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¦Кыргызская Республика       ¦Госстрой Кыргызской Республики 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                           </w:t>
      </w:r>
      <w:r>
        <w:t xml:space="preserve"> ¦               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¦Республика Молдова          ¦Минархстрой Республики Молдова  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       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¦Российская Федерация        ¦Минстрой России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          ¦                  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¦Республика Таджикистан      ¦Госстрой Республики Таджикистан      ¦</w:t>
      </w:r>
    </w:p>
    <w:p w:rsidR="00000000" w:rsidRDefault="00F32735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3 Настоящий стандарт представляет собой аутентичный текс</w:t>
      </w:r>
      <w:r>
        <w:rPr>
          <w:sz w:val="24"/>
        </w:rPr>
        <w:t>т ИСО 834-75 Fire resistance test - Elements of building constructions "Испытания на огнестойкость. Строительные конструкции"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4 ВВЕДЕН В ДЕЙСТВИЕ с 1 января 1996 г. в качестве государственного стандарта Российской Федерации Постановлением Минстроя России от 23 марта 1995 г. N 18-26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5 ВЗАМЕН СТ СЭВ 1000-78, СТ СЭВ 5062-85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t>1 ОБЛАСТЬ ПРИМЕНЕНИЯ</w:t>
      </w:r>
    </w:p>
    <w:p w:rsidR="00000000" w:rsidRDefault="00F32735">
      <w:pPr>
        <w:jc w:val="both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1.1 Настоящий стандарт применяют совместно с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>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1.2 Стандарт применяют для: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несущих, самонесущих и навесных стен и перегородок без проемов;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пок</w:t>
      </w:r>
      <w:r>
        <w:rPr>
          <w:sz w:val="24"/>
        </w:rPr>
        <w:t>рытий и перекрытий без проемов с подвесными потолками (при применении их для повышения предела огнестойкости конструкции) или без них;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колонн и столбов;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балок, ригелей, элементов арок, ферм и рам, а также других несущих и ограждающих конструкций.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При установлении пределов огнестойкости конструкций в целях определения возможности их применения в соответствии с противопожарными требованиями нормативных документов (в том числе при сертификации) следует применять методы, установленные настоящим стандарто</w:t>
      </w:r>
      <w:r>
        <w:rPr>
          <w:sz w:val="24"/>
        </w:rPr>
        <w:t>м.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lastRenderedPageBreak/>
        <w:t>2 НОРМАТИВНЫЕ ССЫЛКИ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В настоящем стандарте использованы ссылки на следующие стандарты: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rStyle w:val="Hyperlink"/>
          <w:color w:val="auto"/>
          <w:sz w:val="24"/>
          <w:u w:val="none"/>
        </w:rPr>
        <w:t>ГОСТ 30247.0-94</w:t>
      </w:r>
      <w:r>
        <w:rPr>
          <w:sz w:val="24"/>
        </w:rPr>
        <w:t xml:space="preserve"> Конструкции строительные. Методы испытаний на огнестойкость. Общие требования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СТ СЭВ 383-87 Пожарная безопасность в строительстве. Термины и определения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t>3 ОПРЕДЕЛЕНИЯ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В настоящем стандарте применяют следующие термины.</w:t>
      </w:r>
    </w:p>
    <w:p w:rsidR="00000000" w:rsidRDefault="00F32735">
      <w:pPr>
        <w:pStyle w:val="Aioiaue"/>
        <w:tabs>
          <w:tab w:val="clear" w:pos="9590"/>
        </w:tabs>
        <w:jc w:val="both"/>
        <w:rPr>
          <w:sz w:val="24"/>
        </w:rPr>
      </w:pPr>
      <w:r>
        <w:rPr>
          <w:sz w:val="24"/>
        </w:rPr>
        <w:t xml:space="preserve">    </w:t>
      </w:r>
    </w:p>
    <w:p w:rsidR="00000000" w:rsidRDefault="00F32735">
      <w:pPr>
        <w:jc w:val="both"/>
        <w:rPr>
          <w:sz w:val="24"/>
        </w:rPr>
      </w:pPr>
      <w:r>
        <w:rPr>
          <w:sz w:val="24"/>
        </w:rPr>
        <w:t>3.1 Несущие конструкции (элементы) - конструкции, воспринимающие постоянную и временную нагрузку, в том числе нагрузку от других частей зданий.</w:t>
      </w:r>
    </w:p>
    <w:p w:rsidR="00000000" w:rsidRDefault="00F32735">
      <w:pPr>
        <w:pStyle w:val="Aioiaue"/>
        <w:tabs>
          <w:tab w:val="clear" w:pos="9590"/>
        </w:tabs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3.2 Огнестойкость конструкци</w:t>
      </w:r>
      <w:r>
        <w:rPr>
          <w:sz w:val="24"/>
        </w:rPr>
        <w:t>и - по СТ СЭВ 383.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3.3 Самонесущие конструкции - конструкции, воспринимающие нагрузку только от собственного веса.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3.4 Ограждающие конструкции - конструкции, выполняющие функции ограждения или разделения объемов (помещений) здания. Ограждающие конструкции могут совмещать функции несущих (в том числе самонесущих) и ограждающих конструкций.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</w:pPr>
    </w:p>
    <w:p w:rsidR="00000000" w:rsidRDefault="00F32735">
      <w:pPr>
        <w:pStyle w:val="H3"/>
        <w:jc w:val="center"/>
      </w:pPr>
      <w:r>
        <w:t>4 СТЕНДОВОЕ ОБОРУДОВАНИЕ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4.1 Стендовое оборудование - по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>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4.2 При испытании ограждающих конструкций регулирующее устройство системы дымовых каналов дол</w:t>
      </w:r>
      <w:r>
        <w:rPr>
          <w:sz w:val="24"/>
        </w:rPr>
        <w:t>жно обеспечивать избыточное давление в огневом пространстве печи. При испытании вертикальных ограждающих конструкций избыточное давление должно поддерживаться на высоте не менее чем верхние 2/3 проема печи.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Через 5 мин после начала испытания избыточное давление должно составлять (10+/-2) Па: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при испытании горизонтальных элементов - на расстоянии 100 мм от обогреваемой поверхности образца;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при испытании вертикальных элементов - на высоте, равной 3/4 вертикального размера проема печи, считая от низа.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t>5 ТЕМПЕРАТУРНЫЙ РЕЖИМ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>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t>6 ОБРАЗЦЫ ДЛЯ ИСПЫТАНИЙ КОНСТРУКЦИЙ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Образцы для испытаний конструкций должны соответствовать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 xml:space="preserve"> и иметь проектные размеры.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Если образцы таких размеров испытать не представляется возможности, то минимальные размеры образцов и проемов печей принимают такими, чтобы обеспечить минимальные размеры зоны огневого воздействия на образец в соответствии с приведенными в таблице 1.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Aioiaue"/>
        <w:tabs>
          <w:tab w:val="clear" w:pos="9590"/>
        </w:tabs>
        <w:rPr>
          <w:sz w:val="24"/>
        </w:rPr>
      </w:pPr>
    </w:p>
    <w:p w:rsidR="00000000" w:rsidRDefault="00F32735">
      <w:pPr>
        <w:pStyle w:val="Aioiaue"/>
        <w:tabs>
          <w:tab w:val="clear" w:pos="9590"/>
        </w:tabs>
        <w:jc w:val="right"/>
        <w:rPr>
          <w:sz w:val="24"/>
        </w:rPr>
      </w:pPr>
      <w:r>
        <w:rPr>
          <w:sz w:val="24"/>
        </w:rPr>
        <w:t>Таблица 1</w:t>
      </w:r>
    </w:p>
    <w:p w:rsidR="00000000" w:rsidRDefault="00F32735">
      <w:pPr>
        <w:pStyle w:val="Aioiaue"/>
        <w:tabs>
          <w:tab w:val="clear" w:pos="9590"/>
        </w:tabs>
        <w:rPr>
          <w:sz w:val="24"/>
        </w:rPr>
      </w:pPr>
      <w:r>
        <w:rPr>
          <w:sz w:val="24"/>
        </w:rPr>
        <w:t>В метрах</w:t>
      </w: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pStyle w:val="Aioiaue"/>
        <w:tabs>
          <w:tab w:val="clear" w:pos="9590"/>
        </w:tabs>
      </w:pPr>
      <w:r>
        <w:t>+---------------------------------------------------------</w:t>
      </w:r>
      <w:r>
        <w:t>---------+</w:t>
      </w:r>
    </w:p>
    <w:p w:rsidR="00000000" w:rsidRDefault="00F32735">
      <w:pPr>
        <w:pStyle w:val="Aioiaue"/>
        <w:tabs>
          <w:tab w:val="clear" w:pos="9590"/>
        </w:tabs>
      </w:pPr>
      <w:r>
        <w:t>¦                  ¦ Минимальные размеры зоны огневого воздействия ¦</w:t>
      </w:r>
    </w:p>
    <w:p w:rsidR="00000000" w:rsidRDefault="00F32735">
      <w:pPr>
        <w:pStyle w:val="Aioiaue"/>
        <w:tabs>
          <w:tab w:val="clear" w:pos="9590"/>
        </w:tabs>
      </w:pPr>
      <w:r>
        <w:t>¦   Наименование   ¦                  на образец                   ¦</w:t>
      </w:r>
    </w:p>
    <w:p w:rsidR="00000000" w:rsidRDefault="00F32735">
      <w:pPr>
        <w:pStyle w:val="Aioiaue"/>
        <w:tabs>
          <w:tab w:val="clear" w:pos="9590"/>
        </w:tabs>
      </w:pPr>
      <w:r>
        <w:t>¦   конструкции    +-----------------------------------------------¦</w:t>
      </w:r>
    </w:p>
    <w:p w:rsidR="00000000" w:rsidRDefault="00F32735">
      <w:pPr>
        <w:pStyle w:val="Aioiaue"/>
        <w:tabs>
          <w:tab w:val="clear" w:pos="9590"/>
        </w:tabs>
      </w:pPr>
      <w:r>
        <w:t>¦                  ¦   Ширина     ¦     Длина      ¦    Высота     ¦</w:t>
      </w:r>
    </w:p>
    <w:p w:rsidR="00000000" w:rsidRDefault="00F32735">
      <w:pPr>
        <w:pStyle w:val="Aioiaue"/>
        <w:tabs>
          <w:tab w:val="clear" w:pos="9590"/>
        </w:tabs>
      </w:pPr>
      <w:r>
        <w:t>+------------------+--------------+----------------+---------------¦</w:t>
      </w:r>
    </w:p>
    <w:p w:rsidR="00000000" w:rsidRDefault="00F32735">
      <w:pPr>
        <w:pStyle w:val="Aioiaue"/>
        <w:tabs>
          <w:tab w:val="clear" w:pos="9590"/>
        </w:tabs>
      </w:pPr>
      <w:r>
        <w:t>¦Стены и перегород-¦    3,0       ¦       -        ¦      3,0      ¦</w:t>
      </w:r>
    </w:p>
    <w:p w:rsidR="00000000" w:rsidRDefault="00F32735">
      <w:pPr>
        <w:pStyle w:val="Aioiaue"/>
        <w:tabs>
          <w:tab w:val="clear" w:pos="9590"/>
        </w:tabs>
      </w:pPr>
      <w:r>
        <w:t>¦ки         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                 </w:t>
      </w:r>
      <w:r>
        <w:t xml:space="preserve">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¦Покрытия и пере-  ¦    2,0       </w:t>
      </w:r>
      <w:r>
        <w:t>¦      4,0       ¦       -       ¦</w:t>
      </w:r>
    </w:p>
    <w:p w:rsidR="00000000" w:rsidRDefault="00F32735">
      <w:pPr>
        <w:pStyle w:val="Aioiaue"/>
        <w:tabs>
          <w:tab w:val="clear" w:pos="9590"/>
        </w:tabs>
      </w:pPr>
      <w:r>
        <w:t>¦крытия, опирающие-¦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¦ся по двум сторо-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¦нам        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¦Покрытия и пере-  ¦    2,8       ¦      4,0       ¦       - 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¦крытия, опирающие-¦              ¦           </w:t>
      </w:r>
      <w:r>
        <w:t xml:space="preserve"> </w:t>
      </w:r>
      <w:r>
        <w:t xml:space="preserve">    ¦         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¦ся по четырем сто-¦              ¦                ¦           </w:t>
      </w:r>
      <w:r>
        <w:t xml:space="preserve">    ¦</w:t>
      </w:r>
    </w:p>
    <w:p w:rsidR="00000000" w:rsidRDefault="00F32735">
      <w:pPr>
        <w:pStyle w:val="Aioiaue"/>
        <w:tabs>
          <w:tab w:val="clear" w:pos="9590"/>
        </w:tabs>
      </w:pPr>
      <w:r>
        <w:t>¦ронам      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¦Балки и другие го-¦     -        ¦      4,0       ¦       - 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¦ризонтальные стер-¦              ¦        </w:t>
      </w:r>
      <w:r>
        <w:t xml:space="preserve">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¦жневые конструкции¦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           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¦Колонн</w:t>
      </w:r>
      <w:r>
        <w:t>ы, столбы и ¦     -        ¦       -        ¦      2,5      ¦</w:t>
      </w:r>
    </w:p>
    <w:p w:rsidR="00000000" w:rsidRDefault="00F32735">
      <w:pPr>
        <w:pStyle w:val="Aioiaue"/>
        <w:tabs>
          <w:tab w:val="clear" w:pos="9590"/>
        </w:tabs>
      </w:pPr>
      <w:r>
        <w:t xml:space="preserve">¦другие вертикаль- ¦   </w:t>
      </w:r>
      <w:r>
        <w:t xml:space="preserve">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¦ные стержневые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¦конструкции       ¦              ¦                ¦               ¦</w:t>
      </w:r>
    </w:p>
    <w:p w:rsidR="00000000" w:rsidRDefault="00F32735">
      <w:pPr>
        <w:pStyle w:val="Aioiaue"/>
        <w:tabs>
          <w:tab w:val="clear" w:pos="9590"/>
        </w:tabs>
      </w:pPr>
      <w:r>
        <w:t>+------------------------------------------------------------------+</w:t>
      </w:r>
    </w:p>
    <w:p w:rsidR="00000000" w:rsidRDefault="00F32735">
      <w:pPr>
        <w:pStyle w:val="Aioiaue"/>
        <w:tabs>
          <w:tab w:val="clear" w:pos="9590"/>
        </w:tabs>
      </w:pPr>
    </w:p>
    <w:p w:rsidR="00000000" w:rsidRDefault="00F32735">
      <w:pPr>
        <w:jc w:val="both"/>
      </w:pPr>
    </w:p>
    <w:p w:rsidR="00000000" w:rsidRDefault="00F32735">
      <w:pPr>
        <w:pStyle w:val="H3"/>
        <w:jc w:val="center"/>
      </w:pPr>
      <w:r>
        <w:t>7 ПРОВЕДЕНИЕ ИСПЫТАНИЙ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7.1 Условия проведения испытаний принимаются по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>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7.2 Нагрузка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7.2.1 Образцы несущих и самонесущих конструкций должны испытываться по</w:t>
      </w:r>
      <w:r>
        <w:rPr>
          <w:sz w:val="24"/>
        </w:rPr>
        <w:t>д нагрузкой. Распределение нагрузки и условия опирания образцов должны соответствовать расчетным схемам, принятым в технической документации.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7.2.2 Испытательную нагрузку устанавливают из условия создания в расчетных сечениях образцов конструкций напряжений, соответствующих их проектным значениям или технической документации.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7.2.3 При определении проектных значений напряжений следует учитывать только постоянные и временные длительные нагрузки в их расчетных значениях с коэффициентом надежности, равным 1</w:t>
      </w:r>
      <w:r>
        <w:rPr>
          <w:sz w:val="24"/>
        </w:rPr>
        <w:t>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7.2.4 При приложении нагрузки необходимо обеспечить условие, чтобы при деформации образца грузы не смещались и не влияли на величину предела огнестойкости вследствие изменения условий теплообмена с окружающей средой.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Нагрузку устанавливают не менее чем за 30 мин до начала испытания и поддерживают (с точностью +/-5%) постоянной в течение всего времени испытания.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7.3 Расстановка термопар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7.3.1 Среднюю температуру на необогреваемой поверхности образцов ограждающих конструкций (стен, перегородок, перекрыти</w:t>
      </w:r>
      <w:r>
        <w:rPr>
          <w:sz w:val="24"/>
        </w:rPr>
        <w:t>й и др.) определяют как среднее арифметическое показаний не менее чем пяти термопар. При этом одну термопару располагают в центре, а остальные - в середине прямых, соединяющих центр и углы проема печи.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7.3.2 В случае испытания образцов конструкций, состоящих из отдельных элементов, необходимо, чтобы их стыковые соединения не совпадали с местами установки термопар, предназначенных для измерения средней температуры необогреваемой поверхности.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7.3.3. Для определения температуры в любой точке поверхности обра</w:t>
      </w:r>
      <w:r>
        <w:rPr>
          <w:sz w:val="24"/>
        </w:rPr>
        <w:t>зца следует устанавливать термопары (или использовать переносную термопару) в таких местах необогреваемой поверхности образцов ограждающих конструкций, в которых ожидается появление максимальной температуры (например в зоне ребер), стыков, металлических закладных деталей и т.п.).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При определении средней температуры необогреваемой поверхности эти точки в расчет не принимают.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Места расположения термопар для измерения температуры на необогреваемой поверхности образца ограждающей конструкции в любом случае до</w:t>
      </w:r>
      <w:r>
        <w:rPr>
          <w:sz w:val="24"/>
        </w:rPr>
        <w:t>лжны располагаться не ближе 100 мм от края проема печи.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7.3.4 При испытании колонн, столбов, балок, элементов ферм и других стержневых конструкций термопары для измерения температуры материалов конструкции, при необходимости выполнения таких измерений, устанавливают в плоскостях, перпендикулярных продольной оси образца, расположенных не реже чем через 1 м друг от друга и не ближе 200 мм от внутренней поверхности печи. Одна из этих плоскостей должна быть расположена в центре длины образца.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7.4 Образцы нару</w:t>
      </w:r>
      <w:r>
        <w:rPr>
          <w:sz w:val="24"/>
        </w:rPr>
        <w:t>жных стен испытывают при воздействии тепла со стороны, обращенной при эксплуатации к помещению; покрытия и перекрытия - снизу, балки - с трех сторон, а колонны, столбы и фермы - с четырех или с трех сторон с учетом реальных условий использования и наихудшего ожидаемого результата испытания.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Образцы конструкций однослойных и симметричных многослойных внутренних стен испытывают с одной стороны, многослойных несимметричных - с каждой стороны, кроме тех случаев, когда неблагоприятная сторона может быть заранее</w:t>
      </w:r>
      <w:r>
        <w:rPr>
          <w:sz w:val="24"/>
        </w:rPr>
        <w:t xml:space="preserve"> установлена или известно направление огневого воздействия.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t>8 ПРЕДЕЛЬНЫЕ СОСТОЯНИЯ</w:t>
      </w:r>
    </w:p>
    <w:p w:rsidR="00000000" w:rsidRDefault="00F32735">
      <w:pPr>
        <w:pStyle w:val="H3"/>
        <w:jc w:val="center"/>
      </w:pPr>
    </w:p>
    <w:p w:rsidR="00000000" w:rsidRDefault="00F32735">
      <w:pPr>
        <w:jc w:val="both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8.1 При испытании несущих и ограждающих конструкций различают следующие предельные состояния.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8.1.1 Потеря несущей способности (R) вследствие обрушения конструкции или возникновения предельных деформаций, значения которых приведены в приложении А;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8.1.2 Потеря теплоизолирующей способности (I) вследствие повышения температуры на необогреваемой поверхности конструкции в среднем более чем на 140 град C или в любой точке эт</w:t>
      </w:r>
      <w:r>
        <w:rPr>
          <w:sz w:val="24"/>
        </w:rPr>
        <w:t>ой поверхности более чем на 180 град С в сравнении с температурой конструкции до испытания или более 220 град С независимо от температуры конструкции до испытания.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8.1.3 Потеря целостности (E) в результате образования в конструкции сквозных трещин или отверстий, через которые на необогреваемую поверхность проникают продукты горения или пламя. В процессе испытания потерю целостности определяют при помощи тампона по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>, который помещают в металлическую рамку с держателем и подносят к местам, где ож</w:t>
      </w:r>
      <w:r>
        <w:rPr>
          <w:sz w:val="24"/>
        </w:rPr>
        <w:t>идается проникновение пламени или продуктов горения, и в течение 10 с держат на расстоянии 20-25 мм от поверхности образца.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Время от начала испытания до воспламенения или возникновения тления со свечением тампона является пределом огнестойкости конструкции по признаку потери целостности.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Обугливание тампона, происходящее без воспламенения или без тления со свечением, не учитывают.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8.2 Для нормирования пределов огнестойкости несущих и ограждающих конструкций используют следующие предельные состояния: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д</w:t>
      </w:r>
      <w:r>
        <w:rPr>
          <w:sz w:val="24"/>
        </w:rPr>
        <w:t>ля колонн, балок, ферм, арок и рам - только потеря несущей способности конструкции и узлов - R;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для наружных несущих стен и покрытий - потеря несущей способности и целостности - R, E, для наружных ненесущих стен - E;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для ненесущих внутренних стен и перегородок - потеря теплоизолирующей способности и целостности - E, I;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для несущих внутренних стен и противопожарных преград потеря несущей способности, целостности и теплоизолирующей способности - R, E, I.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pStyle w:val="H3"/>
        <w:jc w:val="center"/>
      </w:pPr>
      <w:r>
        <w:t>9 ОЦЕНКА РЕЗУЛЬТАТОВ ИСПЫТАНИЯ</w:t>
      </w:r>
    </w:p>
    <w:p w:rsidR="00000000" w:rsidRDefault="00F32735">
      <w:pPr>
        <w:pStyle w:val="H3"/>
        <w:jc w:val="center"/>
      </w:pPr>
    </w:p>
    <w:p w:rsidR="00000000" w:rsidRDefault="00F32735"/>
    <w:p w:rsidR="00000000" w:rsidRDefault="00F32735">
      <w:pPr>
        <w:rPr>
          <w:sz w:val="24"/>
        </w:rPr>
      </w:pPr>
      <w:r>
        <w:rPr>
          <w:sz w:val="24"/>
        </w:rPr>
        <w:t xml:space="preserve">По </w:t>
      </w:r>
      <w:r>
        <w:rPr>
          <w:rStyle w:val="Hyperlink"/>
          <w:color w:val="auto"/>
          <w:sz w:val="24"/>
          <w:u w:val="none"/>
        </w:rPr>
        <w:t>Г</w:t>
      </w:r>
      <w:bookmarkStart w:id="1" w:name="_Hlt423491585"/>
      <w:r>
        <w:rPr>
          <w:rStyle w:val="Hyperlink"/>
          <w:color w:val="auto"/>
          <w:sz w:val="24"/>
          <w:u w:val="none"/>
        </w:rPr>
        <w:t>О</w:t>
      </w:r>
      <w:bookmarkEnd w:id="1"/>
      <w:r>
        <w:rPr>
          <w:rStyle w:val="Hyperlink"/>
          <w:color w:val="auto"/>
          <w:sz w:val="24"/>
          <w:u w:val="none"/>
        </w:rPr>
        <w:t>СТ 30</w:t>
      </w:r>
      <w:r>
        <w:rPr>
          <w:rStyle w:val="Hyperlink"/>
          <w:color w:val="auto"/>
          <w:sz w:val="24"/>
          <w:u w:val="none"/>
        </w:rPr>
        <w:t>2</w:t>
      </w:r>
      <w:r>
        <w:rPr>
          <w:rStyle w:val="Hyperlink"/>
          <w:color w:val="auto"/>
          <w:sz w:val="24"/>
          <w:u w:val="none"/>
        </w:rPr>
        <w:t>47.0</w:t>
      </w:r>
      <w:r>
        <w:rPr>
          <w:sz w:val="24"/>
        </w:rPr>
        <w:t>.</w:t>
      </w:r>
    </w:p>
    <w:p w:rsidR="00000000" w:rsidRDefault="00F32735">
      <w:pPr>
        <w:rPr>
          <w:sz w:val="24"/>
        </w:rPr>
      </w:pPr>
    </w:p>
    <w:p w:rsidR="00000000" w:rsidRDefault="00F32735">
      <w:pPr>
        <w:rPr>
          <w:sz w:val="24"/>
        </w:rPr>
      </w:pPr>
    </w:p>
    <w:p w:rsidR="00000000" w:rsidRDefault="00F32735">
      <w:pPr>
        <w:pStyle w:val="H3"/>
        <w:jc w:val="center"/>
      </w:pPr>
      <w:r>
        <w:t>10 ПРОТОКОЛ ИСПЫТАНИЙ</w:t>
      </w:r>
    </w:p>
    <w:p w:rsidR="00000000" w:rsidRDefault="00F32735">
      <w:pPr>
        <w:pStyle w:val="H3"/>
        <w:jc w:val="center"/>
      </w:pPr>
    </w:p>
    <w:p w:rsidR="00000000" w:rsidRDefault="00F32735">
      <w:pPr>
        <w:rPr>
          <w:sz w:val="24"/>
        </w:rPr>
      </w:pPr>
      <w:r>
        <w:rPr>
          <w:sz w:val="24"/>
        </w:rPr>
        <w:t xml:space="preserve">По </w:t>
      </w:r>
      <w:r>
        <w:rPr>
          <w:rStyle w:val="Hyperlink"/>
          <w:color w:val="auto"/>
          <w:sz w:val="24"/>
          <w:u w:val="none"/>
        </w:rPr>
        <w:t>ГОСТ 30247.0</w:t>
      </w:r>
      <w:r>
        <w:rPr>
          <w:sz w:val="24"/>
        </w:rPr>
        <w:t>.</w:t>
      </w:r>
    </w:p>
    <w:p w:rsidR="00000000" w:rsidRDefault="00F32735"/>
    <w:p w:rsidR="00000000" w:rsidRDefault="00F32735"/>
    <w:p w:rsidR="00000000" w:rsidRDefault="00F32735"/>
    <w:p w:rsidR="00000000" w:rsidRDefault="00F32735">
      <w:pPr>
        <w:pStyle w:val="H3"/>
        <w:jc w:val="center"/>
      </w:pPr>
      <w:r>
        <w:t>Приложение А</w:t>
      </w:r>
    </w:p>
    <w:p w:rsidR="00000000" w:rsidRDefault="00F32735">
      <w:pPr>
        <w:pStyle w:val="H3"/>
        <w:jc w:val="center"/>
      </w:pPr>
      <w:r>
        <w:t>(обязательное)</w:t>
      </w:r>
    </w:p>
    <w:p w:rsidR="00000000" w:rsidRDefault="00F32735">
      <w:pPr>
        <w:pStyle w:val="H3"/>
        <w:jc w:val="center"/>
      </w:pPr>
    </w:p>
    <w:p w:rsidR="00000000" w:rsidRDefault="00F32735">
      <w:pPr>
        <w:pStyle w:val="H3"/>
        <w:jc w:val="center"/>
      </w:pPr>
      <w:r>
        <w:t>ОПРЕДЕЛЕНИЕ ПРЕДЕЛЬНОГО СОСТОЯНИЯ КОНСТРУКЦИЙ ПО</w:t>
      </w:r>
    </w:p>
    <w:p w:rsidR="00000000" w:rsidRDefault="00F32735">
      <w:pPr>
        <w:pStyle w:val="H3"/>
        <w:jc w:val="center"/>
      </w:pPr>
      <w:r>
        <w:t>ПОТЕРЕ НЕСУЩЕЙ СПОСОБНОСТИ В ЗАВИСИМОСТИ</w:t>
      </w:r>
    </w:p>
    <w:p w:rsidR="00000000" w:rsidRDefault="00F32735">
      <w:pPr>
        <w:pStyle w:val="H3"/>
        <w:jc w:val="center"/>
      </w:pPr>
      <w:r>
        <w:t>ОТ ДЕФОРМАЦИЙ</w:t>
      </w:r>
    </w:p>
    <w:p w:rsidR="00000000" w:rsidRDefault="00F32735">
      <w:pPr>
        <w:pStyle w:val="H3"/>
        <w:jc w:val="center"/>
      </w:pPr>
    </w:p>
    <w:p w:rsidR="00000000" w:rsidRDefault="00F32735">
      <w:pPr>
        <w:pStyle w:val="H3"/>
        <w:jc w:val="center"/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1 Для изгибаемых конструкций следует считать, что предельное состояние наступило, если: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- прогиб достиг величины L/20 или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 xml:space="preserve">- скорость нарастания деформаций достигла </w:t>
      </w:r>
    </w:p>
    <w:p w:rsidR="00000000" w:rsidRDefault="00F32735">
      <w:pPr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INCLUDEPICTURE "C:\\Users\\parhomeiai\\Desktop\\СНиПы (пермская база)\\ГОСТы\\Конструкции\\sxprt?m.gif&amp;nd=9055247&amp;f=3&amp;p=41" \* MERGEFORMAT \d </w:instrText>
      </w:r>
      <w:r>
        <w:rPr>
          <w:sz w:val="24"/>
        </w:rPr>
        <w:fldChar w:fldCharType="end"/>
      </w:r>
    </w:p>
    <w:p w:rsidR="00000000" w:rsidRDefault="00F32735">
      <w:pPr>
        <w:pStyle w:val="Aioiaue"/>
        <w:tabs>
          <w:tab w:val="clear" w:pos="9590"/>
        </w:tabs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 / (9000 h) </w:t>
      </w:r>
      <w:r>
        <w:rPr>
          <w:rFonts w:ascii="Times New Roman" w:hAnsi="Times New Roman"/>
          <w:sz w:val="24"/>
        </w:rPr>
        <w:t>см/мин</w:t>
      </w:r>
      <w:r>
        <w:rPr>
          <w:rFonts w:ascii="Times New Roman" w:hAnsi="Times New Roman"/>
          <w:sz w:val="24"/>
          <w:lang w:val="en-US"/>
        </w:rPr>
        <w:t>,</w:t>
      </w:r>
    </w:p>
    <w:p w:rsidR="00000000" w:rsidRDefault="00F32735">
      <w:pPr>
        <w:pStyle w:val="Aioiaue"/>
        <w:tabs>
          <w:tab w:val="clear" w:pos="9590"/>
        </w:tabs>
        <w:jc w:val="both"/>
        <w:rPr>
          <w:rFonts w:ascii="Times New Roman" w:hAnsi="Times New Roman"/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где L - пролет, см;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h - расчетная высота сечения конструкции, см.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  <w:r>
        <w:rPr>
          <w:sz w:val="24"/>
        </w:rPr>
        <w:t>2 Для вертика</w:t>
      </w:r>
      <w:r>
        <w:rPr>
          <w:sz w:val="24"/>
        </w:rPr>
        <w:t>льных конструкций предельным состоянием следует считать условие, когда вертикальная деформация достигает L/100 или скорость нарастания вертикальных деформаций достигает 10 мм/мин для образцов высотой (3+/-0,5) м.</w:t>
      </w: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p w:rsidR="00000000" w:rsidRDefault="00F32735">
      <w:pPr>
        <w:jc w:val="both"/>
        <w:rPr>
          <w:sz w:val="24"/>
        </w:rPr>
      </w:pP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735"/>
    <w:rsid w:val="00F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1980</Words>
  <Characters>11292</Characters>
  <Application>Microsoft Office Word</Application>
  <DocSecurity>0</DocSecurity>
  <Lines>94</Lines>
  <Paragraphs>26</Paragraphs>
  <ScaleCrop>false</ScaleCrop>
  <Company> 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30247</dc:title>
  <dc:subject/>
  <dc:creator> Попов 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