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14DE">
      <w:pPr>
        <w:spacing w:line="240" w:lineRule="auto"/>
        <w:ind w:firstLine="28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ГОСТ 30547—97</w:t>
      </w:r>
    </w:p>
    <w:p w:rsidR="00000000" w:rsidRDefault="007614DE">
      <w:pPr>
        <w:spacing w:line="240" w:lineRule="auto"/>
        <w:ind w:firstLine="284"/>
        <w:jc w:val="right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proofErr w:type="spellStart"/>
      <w:r>
        <w:rPr>
          <w:sz w:val="20"/>
        </w:rPr>
        <w:t>УДК</w:t>
      </w:r>
      <w:proofErr w:type="spellEnd"/>
      <w:r>
        <w:rPr>
          <w:sz w:val="20"/>
        </w:rPr>
        <w:t>[69+691:699.8](083.74)                                                                                     Группа Ж14</w:t>
      </w: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sz w:val="20"/>
        </w:rPr>
        <w:t>МЕЖГОСУДАРСТВЕННЫЙ СТАНДАРТ</w:t>
      </w: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МАТЕРИАЛЫ РУЛОННЫЕ КРОВЕЛЬНЫЕ И ГИДРОИЗОЛЯЦИОННЫЕ </w:t>
      </w: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Общие технические условия</w:t>
      </w: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 xml:space="preserve">ROOFING AND </w:t>
      </w:r>
      <w:r>
        <w:rPr>
          <w:sz w:val="20"/>
          <w:lang w:val="en-US"/>
        </w:rPr>
        <w:t xml:space="preserve">HYDRAULIC INSULATING MATERIALS IN ROLLS </w:t>
      </w: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sz w:val="20"/>
          <w:lang w:val="en-US"/>
        </w:rPr>
        <w:t>General specifications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proofErr w:type="spellStart"/>
      <w:r>
        <w:rPr>
          <w:sz w:val="20"/>
        </w:rPr>
        <w:t>ОКС</w:t>
      </w:r>
      <w:proofErr w:type="spellEnd"/>
      <w:r>
        <w:rPr>
          <w:sz w:val="20"/>
        </w:rPr>
        <w:t xml:space="preserve"> 83.140 </w:t>
      </w:r>
    </w:p>
    <w:p w:rsidR="00000000" w:rsidRDefault="007614DE">
      <w:pPr>
        <w:spacing w:line="240" w:lineRule="auto"/>
        <w:ind w:firstLine="284"/>
        <w:rPr>
          <w:sz w:val="20"/>
        </w:rPr>
      </w:pPr>
      <w:proofErr w:type="spellStart"/>
      <w:r>
        <w:rPr>
          <w:sz w:val="20"/>
        </w:rPr>
        <w:t>ОКСТУ</w:t>
      </w:r>
      <w:proofErr w:type="spellEnd"/>
      <w:r>
        <w:rPr>
          <w:sz w:val="20"/>
        </w:rPr>
        <w:t xml:space="preserve"> 5774</w:t>
      </w:r>
    </w:p>
    <w:p w:rsidR="00000000" w:rsidRDefault="007614DE">
      <w:pPr>
        <w:spacing w:line="240" w:lineRule="auto"/>
        <w:ind w:firstLine="284"/>
        <w:jc w:val="right"/>
        <w:rPr>
          <w:i/>
          <w:sz w:val="20"/>
        </w:rPr>
      </w:pPr>
      <w:r>
        <w:rPr>
          <w:i/>
          <w:sz w:val="20"/>
        </w:rPr>
        <w:t>Дата введения 1999-09-01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Предисловие</w:t>
      </w: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1 РАЗРАБОТАН Открытым акционерным обществом (</w:t>
      </w:r>
      <w:proofErr w:type="spellStart"/>
      <w:r>
        <w:rPr>
          <w:sz w:val="20"/>
        </w:rPr>
        <w:t>ОАО</w:t>
      </w:r>
      <w:proofErr w:type="spellEnd"/>
      <w:r>
        <w:rPr>
          <w:sz w:val="20"/>
        </w:rPr>
        <w:t>) «</w:t>
      </w:r>
      <w:proofErr w:type="spellStart"/>
      <w:r>
        <w:rPr>
          <w:sz w:val="20"/>
        </w:rPr>
        <w:t>Полимерстройматериалы</w:t>
      </w:r>
      <w:proofErr w:type="spellEnd"/>
      <w:r>
        <w:rPr>
          <w:sz w:val="20"/>
        </w:rPr>
        <w:t>» Российской Федерации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ВНЕСЕН Госстроем России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2 ПРИНЯТ Межгосударственной научно-технической комиссией по стандартизации, техническому нормированию и сертификации в строительстве (</w:t>
      </w:r>
      <w:proofErr w:type="spellStart"/>
      <w:r>
        <w:rPr>
          <w:sz w:val="20"/>
        </w:rPr>
        <w:t>МНТКС</w:t>
      </w:r>
      <w:proofErr w:type="spellEnd"/>
      <w:r>
        <w:rPr>
          <w:sz w:val="20"/>
        </w:rPr>
        <w:t>) 10 декабря 1997 г.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За принятие проголосовали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Наименование государства </w:t>
            </w:r>
          </w:p>
        </w:tc>
        <w:tc>
          <w:tcPr>
            <w:tcW w:w="5193" w:type="dxa"/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органа государственного управления ст</w:t>
            </w:r>
            <w:r>
              <w:rPr>
                <w:sz w:val="20"/>
              </w:rPr>
              <w:t>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Республика Армения </w:t>
            </w:r>
          </w:p>
        </w:tc>
        <w:tc>
          <w:tcPr>
            <w:tcW w:w="5193" w:type="dxa"/>
            <w:tcBorders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Министерство градостроительства Республики Армения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Республика Беларусь 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Минстройархитектуры</w:t>
            </w:r>
            <w:proofErr w:type="spellEnd"/>
            <w:r>
              <w:rPr>
                <w:sz w:val="20"/>
              </w:rPr>
              <w:t xml:space="preserve"> Республики Беларусь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Казахстан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Агентство строительства и архитектурно-градостроительного контроля Министерства экономики и торговли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Кыргызская</w:t>
            </w:r>
            <w:proofErr w:type="spellEnd"/>
            <w:r>
              <w:rPr>
                <w:sz w:val="20"/>
              </w:rPr>
              <w:t xml:space="preserve"> Республика 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Минархстрой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Кыргызской</w:t>
            </w:r>
            <w:proofErr w:type="spellEnd"/>
            <w:r>
              <w:rPr>
                <w:sz w:val="20"/>
              </w:rPr>
              <w:t xml:space="preserve"> Республики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Молдова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Министерство территориального развития, строительства и коммунального хозяйства Республики Молдова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Российская Федерация </w:t>
            </w:r>
          </w:p>
        </w:tc>
        <w:tc>
          <w:tcPr>
            <w:tcW w:w="5193" w:type="dxa"/>
            <w:tcBorders>
              <w:top w:val="nil"/>
              <w:bottom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Госстрой России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Республика Таджикистан</w:t>
            </w:r>
          </w:p>
        </w:tc>
        <w:tc>
          <w:tcPr>
            <w:tcW w:w="5193" w:type="dxa"/>
            <w:tcBorders>
              <w:top w:val="nil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Госстрой Республики Таджикистан</w:t>
            </w:r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 ВЗАМЕН ГОСТ 4.203-79, ГОСТ 2551-75, ГОСТ 23835-79, ГОСТ 26627-85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 ВВЕДЕН В ДЕЙСТВИЕ с 1 сентября 1999 г. в качестве государственного стандарта Российской Федерации постановлением Госстроя России от 30 апреля 1999 г. № 33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ВНЕСЕНО Изменение № 1, утвержденное Постановлением Госстроя РФ № 109 от 09.11.2000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Настоящий стандарт распространяется на рулонные кровельные и гидроизоляционные материалы и устанавливает классификацию, об</w:t>
      </w:r>
      <w:r>
        <w:rPr>
          <w:sz w:val="20"/>
        </w:rPr>
        <w:t>щие технические требования, требования безопасности, правила приемки, методы испытаний, требования к транспортированию и хранению и указания по применению.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Требования настоящего стандарта, изложенные в разделах 4—8, являются обязательными.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Показатели качества, обязательные для всех рулонных и для конкретных групп материалов, приведены в приложении А.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lastRenderedPageBreak/>
        <w:t>2 Нормативные ссылки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В настоящем стандарте использованы ссылки на следующие стандарты: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ГОСТ 12.3.009—76 </w:t>
      </w:r>
      <w:proofErr w:type="spellStart"/>
      <w:r>
        <w:rPr>
          <w:sz w:val="20"/>
        </w:rPr>
        <w:t>ССБТ</w:t>
      </w:r>
      <w:proofErr w:type="spellEnd"/>
      <w:r>
        <w:rPr>
          <w:sz w:val="20"/>
        </w:rPr>
        <w:t>. Работы погрузочно-разгрузочные. Общие требовани</w:t>
      </w:r>
      <w:r>
        <w:rPr>
          <w:sz w:val="20"/>
        </w:rPr>
        <w:t>я безопасности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ГОСТ 2678—94 Материалы рулонные кровельные и гидроизоляционные. Методы испытаний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ГОСТ 14192—96 Маркировка грузов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ГОСТ 30244—94 Материалы строительные. Методы испытаний на горючесть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ГОСТ 30402—96 Материалы строительные. Метод испытания на воспламеняемость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ГОСТ 30444—97 Материалы строительные. Метод испытания на распространение пламени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3 Классификация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3.1 Рулонные кровельные и гидроизоляционные материалы (далее рулонные материалы) классифицируют по следующим основным признакам: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назначению;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структуре полотна;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виду основы;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виду основного компонента покровного состава (для материалов на картонной основе), вяжущего (для материалов на волокнистой и комбинированной основах) или материала (для полимерных материалов);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виду защитного слоя.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3.2 По назначению рулонные материалы подразделяют на: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кровельные, предназначенные для устройства однослойного, верхнего и нижнего слоев многослойного кровельного ковра;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гидроизоляционные, предназначенные для устройства гидроизоляции строительных конструк</w:t>
      </w:r>
      <w:r>
        <w:rPr>
          <w:sz w:val="20"/>
        </w:rPr>
        <w:t>ций;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— пароизоляционные, предназначенные для устройства </w:t>
      </w:r>
      <w:proofErr w:type="spellStart"/>
      <w:r>
        <w:rPr>
          <w:sz w:val="20"/>
        </w:rPr>
        <w:t>пароизоляции</w:t>
      </w:r>
      <w:proofErr w:type="spellEnd"/>
      <w:r>
        <w:rPr>
          <w:sz w:val="20"/>
        </w:rPr>
        <w:t xml:space="preserve"> строительных конструкций.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3.3 По структуре полотна рулонные материалы подразделяют на: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основные (одно- и многоосновные);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— </w:t>
      </w:r>
      <w:proofErr w:type="spellStart"/>
      <w:r>
        <w:rPr>
          <w:sz w:val="20"/>
        </w:rPr>
        <w:t>безосновные</w:t>
      </w:r>
      <w:proofErr w:type="spellEnd"/>
      <w:r>
        <w:rPr>
          <w:sz w:val="20"/>
        </w:rPr>
        <w:t>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3.4 По виду основы рулонные материалы подразделяют на: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картонной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асбестовой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стекловолокнистой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основе из полимерных 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комбинированной основе.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3.5 По виду основного компонента покровного состава, вяжущего или материала рулонные материалы подразделяют на: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— битумные </w:t>
      </w:r>
      <w:r>
        <w:rPr>
          <w:sz w:val="20"/>
        </w:rPr>
        <w:t xml:space="preserve">(наплавляемые, </w:t>
      </w:r>
      <w:proofErr w:type="spellStart"/>
      <w:r>
        <w:rPr>
          <w:sz w:val="20"/>
        </w:rPr>
        <w:t>ненаплавляемые</w:t>
      </w:r>
      <w:proofErr w:type="spellEnd"/>
      <w:r>
        <w:rPr>
          <w:sz w:val="20"/>
        </w:rPr>
        <w:t>);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— битумно-полимерные (наплавляемые, </w:t>
      </w:r>
      <w:proofErr w:type="spellStart"/>
      <w:r>
        <w:rPr>
          <w:sz w:val="20"/>
        </w:rPr>
        <w:t>ненаплавляемые</w:t>
      </w:r>
      <w:proofErr w:type="spellEnd"/>
      <w:r>
        <w:rPr>
          <w:sz w:val="20"/>
        </w:rPr>
        <w:t>);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полимерные (</w:t>
      </w:r>
      <w:proofErr w:type="spellStart"/>
      <w:r>
        <w:rPr>
          <w:sz w:val="20"/>
        </w:rPr>
        <w:t>эластомерные</w:t>
      </w:r>
      <w:proofErr w:type="spellEnd"/>
      <w:r>
        <w:rPr>
          <w:sz w:val="20"/>
        </w:rPr>
        <w:t xml:space="preserve"> вулканизованные и </w:t>
      </w:r>
      <w:proofErr w:type="spellStart"/>
      <w:r>
        <w:rPr>
          <w:sz w:val="20"/>
        </w:rPr>
        <w:t>невулканизованные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термопластичные</w:t>
      </w:r>
      <w:proofErr w:type="spellEnd"/>
      <w:r>
        <w:rPr>
          <w:sz w:val="20"/>
        </w:rPr>
        <w:t>).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3.6 По виду защитного слоя рулонные материалы подразделяют на: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материалы с посыпкой (крупнозернистой, чешуйчатой, мелкозернистой, пылевидной);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материалы с фольгой;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материалы с пленкой.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3.7 Условное обозначение рулонного материала в технической документации и при заказе должно состоять из полного или краткого наименования, марки и обознач</w:t>
      </w:r>
      <w:r>
        <w:rPr>
          <w:sz w:val="20"/>
        </w:rPr>
        <w:t>ения нормативного документа, по которому выпускается конкретный вид материала.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4 Общие технические требования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4.1 Характеристики (свойства)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 Рулонные материалы должны соответствовать требованиям настоящего стандарта и нормативного документа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4.1.2 Полотно рулонного материала не должно иметь трещин, дыр, разрывов и складок кроме материалов на перфорированной основе.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lastRenderedPageBreak/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4.1.3 На кромках (краях) полотна рулонного материала на картонной и асбесто</w:t>
      </w:r>
      <w:r>
        <w:rPr>
          <w:sz w:val="20"/>
        </w:rPr>
        <w:t>вой основах допускаются не более двух надрывов длиной 15—30 мм на длине полотна до 20 м. Надрывы длиной до 15 мм не нормируются, а более 30 мм не допускаются.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4.1.4 На основные битумные и битумно-полимерные рулонные материалы покровный состав или вяжущее должны быть нанесены сплошным слоем по всей поверхности основы.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4.1.5 Крупнозернистая или чешуйчатая посыпка должна быть нанесена сплошным слоем на лицевую поверхность полотна рулонных кровельных материалов.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4.1.6 Рулонные кровельные материалы с крупнозерни</w:t>
      </w:r>
      <w:r>
        <w:rPr>
          <w:sz w:val="20"/>
        </w:rPr>
        <w:t xml:space="preserve">стой или чешуйчатой посыпкой должны иметь с одного края лицевой поверхности вдоль всего полотна </w:t>
      </w:r>
      <w:proofErr w:type="spellStart"/>
      <w:r>
        <w:rPr>
          <w:sz w:val="20"/>
        </w:rPr>
        <w:t>непосыпанную</w:t>
      </w:r>
      <w:proofErr w:type="spellEnd"/>
      <w:r>
        <w:rPr>
          <w:sz w:val="20"/>
        </w:rPr>
        <w:t xml:space="preserve"> кромку шириной (85 + 15) мм.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Ширина </w:t>
      </w:r>
      <w:proofErr w:type="spellStart"/>
      <w:r>
        <w:rPr>
          <w:sz w:val="20"/>
        </w:rPr>
        <w:t>непосыпанной</w:t>
      </w:r>
      <w:proofErr w:type="spellEnd"/>
      <w:r>
        <w:rPr>
          <w:sz w:val="20"/>
        </w:rPr>
        <w:t xml:space="preserve"> кромки может быть увеличена в зависимости от области применения и приведена в нормативном документе на конкретный материал.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4.1.7 Материалы должны быть плотно намотаны в рулон и не слипаться.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Торцы рулонов должны быть ровными. Допускаются выступы на торцах рулона высотой, мм, не более: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15 — для рулонных материалов на картонной, асбестовой и комбинирова</w:t>
      </w:r>
      <w:r>
        <w:rPr>
          <w:sz w:val="20"/>
        </w:rPr>
        <w:t>нной основах;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20 — для рулонных материалов на волокнистой основе, </w:t>
      </w:r>
      <w:proofErr w:type="spellStart"/>
      <w:r>
        <w:rPr>
          <w:sz w:val="20"/>
        </w:rPr>
        <w:t>безосновных</w:t>
      </w:r>
      <w:proofErr w:type="spellEnd"/>
      <w:r>
        <w:rPr>
          <w:sz w:val="20"/>
        </w:rPr>
        <w:t xml:space="preserve"> битумно-полимерных и полимерных материалов.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4.1.8 В партии допускается не более 5 % составных рулонов, в одном составном рулоне — не более двух полотен. Длина меньшего из полотен в рулоне должна быть не менее 3 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4.1.9 Линейные размеры, площадь полотна рулонного материала и допускаемые отклонения от линейных размеров и площади устанавливают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4.1.10 Разрывная сила при растяжении </w:t>
      </w:r>
      <w:r>
        <w:rPr>
          <w:sz w:val="20"/>
        </w:rPr>
        <w:t>рулонных основных битумных и битумно-полимерных материалов должна быть не менее, Н (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):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215 (22) — для </w:t>
      </w:r>
      <w:proofErr w:type="spellStart"/>
      <w:r>
        <w:rPr>
          <w:sz w:val="20"/>
        </w:rPr>
        <w:t>ненаплавляемых</w:t>
      </w:r>
      <w:proofErr w:type="spellEnd"/>
      <w:r>
        <w:rPr>
          <w:sz w:val="20"/>
        </w:rPr>
        <w:t xml:space="preserve"> материалов на картонной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274 (28) — для наплавляемых материалов на картонной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294 (30) — для материалов на стекловолокнистой основе;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343 (35) —   »         »           на основе из полимерных 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392 (40) —   »         »           на комбинированной основе.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4.1.11 Условная прочность гидроизоляционных </w:t>
      </w:r>
      <w:proofErr w:type="spellStart"/>
      <w:r>
        <w:rPr>
          <w:sz w:val="20"/>
        </w:rPr>
        <w:t>безосновных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битумнополимерных</w:t>
      </w:r>
      <w:proofErr w:type="spellEnd"/>
      <w:r>
        <w:rPr>
          <w:sz w:val="20"/>
        </w:rPr>
        <w:t xml:space="preserve"> материа</w:t>
      </w:r>
      <w:r>
        <w:rPr>
          <w:sz w:val="20"/>
        </w:rPr>
        <w:t xml:space="preserve">лов должна быть не менее 0,45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(4,6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>).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4.1.12 Условная прочность и относительное удлинение при разрыве рулонных полимерных материалов должны быть не менее: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1,5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(15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300 % — для </w:t>
      </w:r>
      <w:proofErr w:type="spellStart"/>
      <w:r>
        <w:rPr>
          <w:sz w:val="20"/>
        </w:rPr>
        <w:t>невулканизованных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эластомерных</w:t>
      </w:r>
      <w:proofErr w:type="spellEnd"/>
      <w:r>
        <w:rPr>
          <w:sz w:val="20"/>
        </w:rPr>
        <w:t>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(41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250 % — для вулканизованных </w:t>
      </w:r>
      <w:proofErr w:type="spellStart"/>
      <w:r>
        <w:rPr>
          <w:sz w:val="20"/>
        </w:rPr>
        <w:t>эластомерных</w:t>
      </w:r>
      <w:proofErr w:type="spellEnd"/>
      <w:r>
        <w:rPr>
          <w:sz w:val="20"/>
        </w:rPr>
        <w:t>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8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(82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200 % — для </w:t>
      </w:r>
      <w:proofErr w:type="spellStart"/>
      <w:r>
        <w:rPr>
          <w:sz w:val="20"/>
        </w:rPr>
        <w:t>термопластичных</w:t>
      </w:r>
      <w:proofErr w:type="spellEnd"/>
      <w:r>
        <w:rPr>
          <w:sz w:val="20"/>
        </w:rPr>
        <w:t>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4.1.12а Условная прочность и относительное удлинение при разрыве рулонных армированных полимерных материалов должны быть не менее: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2</w:t>
      </w:r>
      <w:r>
        <w:rPr>
          <w:sz w:val="20"/>
        </w:rPr>
        <w:t xml:space="preserve">,5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(25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15% - для </w:t>
      </w:r>
      <w:proofErr w:type="spellStart"/>
      <w:r>
        <w:rPr>
          <w:sz w:val="20"/>
        </w:rPr>
        <w:t>невулканизованных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эластомерных</w:t>
      </w:r>
      <w:proofErr w:type="spellEnd"/>
      <w:r>
        <w:rPr>
          <w:sz w:val="20"/>
        </w:rPr>
        <w:t xml:space="preserve"> с армированием из стекловолокон;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2,5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(25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>) и 100% - то же с армированием из полимерных 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6,0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(60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15% - для вулканизованных </w:t>
      </w:r>
      <w:proofErr w:type="spellStart"/>
      <w:r>
        <w:rPr>
          <w:sz w:val="20"/>
        </w:rPr>
        <w:t>эластомерных</w:t>
      </w:r>
      <w:proofErr w:type="spellEnd"/>
      <w:r>
        <w:rPr>
          <w:sz w:val="20"/>
        </w:rPr>
        <w:t xml:space="preserve"> с армированием из стекловолокон;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5,0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(50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>) и 100% - то же с армированием из полимерных 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12,0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(120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) и 15% - для </w:t>
      </w:r>
      <w:proofErr w:type="spellStart"/>
      <w:r>
        <w:rPr>
          <w:sz w:val="20"/>
        </w:rPr>
        <w:t>термопластичных</w:t>
      </w:r>
      <w:proofErr w:type="spellEnd"/>
      <w:r>
        <w:rPr>
          <w:sz w:val="20"/>
        </w:rPr>
        <w:t xml:space="preserve"> с армированием из стекловолокон;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9,0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(90кгс/см</w:t>
      </w:r>
      <w:r>
        <w:rPr>
          <w:sz w:val="20"/>
          <w:vertAlign w:val="superscript"/>
        </w:rPr>
        <w:t>2</w:t>
      </w:r>
      <w:r>
        <w:rPr>
          <w:sz w:val="20"/>
        </w:rPr>
        <w:t>) и 60% - то же с армированием из полимерных волокон.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(Введен дополнит</w:t>
      </w:r>
      <w:r>
        <w:rPr>
          <w:b/>
          <w:sz w:val="20"/>
        </w:rPr>
        <w:t>ельно,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4.1.13 Сопротивление динамическому или статическому продавливанию рулонных кровельных полимерных материалов должно быть указано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4.1.14 Рулонные материалы должны выдерживать испытание на гибкость в условиях, приведенных в таблице 1.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Таблица 1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2362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материала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Условия испытания рулонных материалов на гибкость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брусе с закруглением радиусом, мм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 температуре, °С, не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Битумные: 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 картонной основе 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 волокнистой основе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25±0,2 </w:t>
            </w: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5±0,2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Битумно-полимерные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25±0,2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минус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Полимерные: 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эластомерные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термопластичные</w:t>
            </w:r>
            <w:proofErr w:type="spellEnd"/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5±0,2 </w:t>
            </w: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5±0,2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минус 40 </w:t>
            </w:r>
          </w:p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минус 20</w:t>
            </w:r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4.1.15 Битумные и битумно-полимерные рулонные материалы (кроме </w:t>
      </w:r>
      <w:proofErr w:type="spellStart"/>
      <w:r>
        <w:rPr>
          <w:sz w:val="20"/>
        </w:rPr>
        <w:t>беспокровных</w:t>
      </w:r>
      <w:proofErr w:type="spellEnd"/>
      <w:r>
        <w:rPr>
          <w:sz w:val="20"/>
        </w:rPr>
        <w:t>) должны быть теплостойкими при испытании в условиях, приведенных в таблице 2.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Таблица 2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2787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материала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Условия испытания рулонных материалов на теплостойкость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 температуре, °С, не ниже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течение, ч,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 xml:space="preserve">Битумные </w:t>
            </w:r>
          </w:p>
          <w:p w:rsidR="00000000" w:rsidRDefault="007614DE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Битумно-полимерные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</w:p>
          <w:p w:rsidR="00000000" w:rsidRDefault="007614DE">
            <w:pPr>
              <w:spacing w:line="24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  <w:p w:rsidR="00000000" w:rsidRDefault="007614DE">
            <w:pPr>
              <w:spacing w:line="240" w:lineRule="auto"/>
              <w:ind w:firstLine="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4.1.16 Изменение ли</w:t>
      </w:r>
      <w:r>
        <w:rPr>
          <w:sz w:val="20"/>
        </w:rPr>
        <w:t xml:space="preserve">нейных размеров рулонных </w:t>
      </w:r>
      <w:proofErr w:type="spellStart"/>
      <w:r>
        <w:rPr>
          <w:sz w:val="20"/>
        </w:rPr>
        <w:t>безосновных</w:t>
      </w:r>
      <w:proofErr w:type="spellEnd"/>
      <w:r>
        <w:rPr>
          <w:sz w:val="20"/>
        </w:rPr>
        <w:t xml:space="preserve"> полимерных материалов должно быть не более ± 2 % при испытании при температуре (70± 2) °С в течение не менее 6 ч.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4.1.17 Температура хрупкости покровного состава или вяжущего наплавляемых битумных рулонных материалов должна быть не выше минус 15 °С, битумно-полимерных — не выше минус 25 °С.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4.1.18 Масса покровного состава или вяжущего с наплавляемой стороны для основных наплавляемых битумных рулонных материалов должна быть </w:t>
      </w:r>
      <w:proofErr w:type="spellStart"/>
      <w:r>
        <w:rPr>
          <w:sz w:val="20"/>
        </w:rPr>
        <w:t>нс</w:t>
      </w:r>
      <w:proofErr w:type="spellEnd"/>
      <w:r>
        <w:rPr>
          <w:sz w:val="20"/>
        </w:rPr>
        <w:t xml:space="preserve"> менее 1500,</w:t>
      </w:r>
      <w:r>
        <w:rPr>
          <w:sz w:val="20"/>
        </w:rPr>
        <w:t xml:space="preserve"> а для битумно-полимерных -— не менее 2000 г/м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4.1.19 </w:t>
      </w:r>
      <w:proofErr w:type="spellStart"/>
      <w:r>
        <w:rPr>
          <w:sz w:val="20"/>
        </w:rPr>
        <w:t>Водопоглощение</w:t>
      </w:r>
      <w:proofErr w:type="spellEnd"/>
      <w:r>
        <w:rPr>
          <w:sz w:val="20"/>
        </w:rPr>
        <w:t xml:space="preserve"> рулонных материалов (кроме пергамина) должно быть не более 2,0 % по массе при испытании в течение не менее 24 ч.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4.1.20 Рулонные кровельные материалы (кроме пергамина) должны быть водонепроницаемыми в течение не менее 72 ч при давлении не менее 0,001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(0,01 </w:t>
      </w:r>
      <w:proofErr w:type="spellStart"/>
      <w:r>
        <w:rPr>
          <w:sz w:val="20"/>
        </w:rPr>
        <w:t>кгс</w:t>
      </w:r>
      <w:proofErr w:type="spellEnd"/>
      <w:r>
        <w:rPr>
          <w:sz w:val="20"/>
        </w:rPr>
        <w:t>/см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4.1.21 Гидроизоляционные материалы должны быть водонепроницаемыми при испытании в течении не менее 2 ч при давлении не менее 0,2 </w:t>
      </w:r>
      <w:proofErr w:type="spellStart"/>
      <w:r>
        <w:rPr>
          <w:sz w:val="20"/>
        </w:rPr>
        <w:t>МПа</w:t>
      </w:r>
      <w:proofErr w:type="spellEnd"/>
      <w:r>
        <w:rPr>
          <w:sz w:val="20"/>
        </w:rPr>
        <w:t xml:space="preserve"> (2кгс/см</w:t>
      </w:r>
      <w:r>
        <w:rPr>
          <w:sz w:val="20"/>
          <w:vertAlign w:val="superscript"/>
        </w:rPr>
        <w:t>2</w:t>
      </w:r>
      <w:r>
        <w:rPr>
          <w:sz w:val="20"/>
        </w:rPr>
        <w:t>), если иные условия испытани</w:t>
      </w:r>
      <w:r>
        <w:rPr>
          <w:sz w:val="20"/>
        </w:rPr>
        <w:t>я не установлены в нормативных документах на конкретные виды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Водонепроницаемость рулонных гидроизоляционных материалов устанавливают в зависимости от области применения и указывают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4.1.22 </w:t>
      </w:r>
      <w:proofErr w:type="spellStart"/>
      <w:r>
        <w:rPr>
          <w:sz w:val="20"/>
        </w:rPr>
        <w:t>Паропроницаемость</w:t>
      </w:r>
      <w:proofErr w:type="spellEnd"/>
      <w:r>
        <w:rPr>
          <w:sz w:val="20"/>
        </w:rPr>
        <w:t xml:space="preserve"> или сопротивление </w:t>
      </w:r>
      <w:proofErr w:type="spellStart"/>
      <w:r>
        <w:rPr>
          <w:sz w:val="20"/>
        </w:rPr>
        <w:t>паропроницанию</w:t>
      </w:r>
      <w:proofErr w:type="spellEnd"/>
      <w:r>
        <w:rPr>
          <w:sz w:val="20"/>
        </w:rPr>
        <w:t xml:space="preserve"> рулонных пароизоляционных материалов указывают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4.1.23 Потеря посыпки для рулонных кровельных материалов с крупнозернистой </w:t>
      </w:r>
      <w:r>
        <w:rPr>
          <w:sz w:val="20"/>
        </w:rPr>
        <w:t>посыпкой должна быть не более 3,0 г/образец для битумных и не более 2,0 г/образец — для битумно-полимерных материалов.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4.1.24 Рулонные материалы с цветной посыпкой должны выдерживать испытание на </w:t>
      </w:r>
      <w:proofErr w:type="spellStart"/>
      <w:r>
        <w:rPr>
          <w:sz w:val="20"/>
        </w:rPr>
        <w:t>цветостойкость</w:t>
      </w:r>
      <w:proofErr w:type="spellEnd"/>
      <w:r>
        <w:rPr>
          <w:sz w:val="20"/>
        </w:rPr>
        <w:t xml:space="preserve"> посыпки в течение не менее 2 ч.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4.1.25 Рулонные материалы, применяемые в условиях специальных ( в том числе химических) воздействий, должны обладать стойкостью к этим воздействиям.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4.2 Требования к сырью и материалам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Сырье и материалы, применяемые для изготовления рулонных материалов, должны соответ</w:t>
      </w:r>
      <w:r>
        <w:rPr>
          <w:sz w:val="20"/>
        </w:rPr>
        <w:t>ствовать требованиям действующих нормативных документов и выпускаться в промышленном объеме.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4.3 Маркировка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4.3.1 На каждый рулон материала должна быть наклеена или вложена в рулон этикетка.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Маркировка рулонов может производиться штампом непосредственно на упаковочной бумаге без наклейки специальных этикеток. Оттиск штампа должен быть четким и разборчивым.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Допускается нанесение маркировки на упаковочную ленту повторяющимся текстом.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4.3.2 На этикетке (штампе) должно быть указано: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наименование предприятия-</w:t>
      </w:r>
      <w:r>
        <w:rPr>
          <w:sz w:val="20"/>
        </w:rPr>
        <w:t>изготовителя или его товарный знак;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наименование материала и номер нормативного документа на конкретный вид материала;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номер партии и дата изготовления.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4.3.3 Перечень данных на этикетке может быть дополнен или изменен в соответствии с требованиями нормативного документа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4.3.4 Транспортная маркировка — по ГОСТ 14192.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4.4 Упаковка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4.4.1 Намотку материалов в рулон производят на сердечник или без него. Необходимость применения сердечника опред</w:t>
      </w:r>
      <w:r>
        <w:rPr>
          <w:sz w:val="20"/>
        </w:rPr>
        <w:t>еляется видом рулонного материала и устанавливается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4.4.2 Упаковка должна обеспечивать сохранность рулонных материалов при транспортировании и хранении. Особенности упаковки указывают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5 Требования безопасности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5.1 При производстве, хранении, транспортировании и применении рулонных материалов необходимо соблюдать требования безопасности, установленные органами санитарно-эпидемиологического государствен</w:t>
      </w:r>
      <w:r>
        <w:rPr>
          <w:sz w:val="20"/>
        </w:rPr>
        <w:t>ного надзора, которые должны быть указаны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5.2 Для рулонных материалов в нормативном документе на конкретный вид материала должны содержаться следующие показатели пожарной опасности: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группа горючести — для всех видов кровельных материалов; для гидроизоляционных и пароизоляционных материалов толщиной более 0,2 см;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группа распространения пламени — для кровельных материалов и гидроизоляционных и пароизоляционных материалов при применении их для устройства одн</w:t>
      </w:r>
      <w:r>
        <w:rPr>
          <w:sz w:val="20"/>
        </w:rPr>
        <w:t>ослойного или верхнего слоя многослойного кровельного ковра;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группа воспламеняемости — для всех видов кровельных материалов;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для гидроизоляционных и пароизоляционных материалов толщиной более 0,2 см.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Для рулонных гидроизоляционных и пароизоляционных материалов толщиной менее 0,2 см показатели пожарной опасности допускается не определять.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Организация-производитель или разработчик рулонного материала может заявить в нормативном документе на материал предельные значения отдельных или всех показателей его пожар</w:t>
      </w:r>
      <w:r>
        <w:rPr>
          <w:sz w:val="20"/>
        </w:rPr>
        <w:t xml:space="preserve">ной опасности (наиболее опасные: Г4, РП4, </w:t>
      </w:r>
      <w:proofErr w:type="spellStart"/>
      <w:r>
        <w:rPr>
          <w:sz w:val="20"/>
        </w:rPr>
        <w:t>ВЗ</w:t>
      </w:r>
      <w:proofErr w:type="spellEnd"/>
      <w:r>
        <w:rPr>
          <w:sz w:val="20"/>
        </w:rPr>
        <w:t>) без подтверждения испытаниями.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5.3 При погрузочно-разгрузочных работах должны соблюдаться требования безопасности по ГОСТ 12.3.009.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  <w:r>
        <w:rPr>
          <w:b/>
          <w:sz w:val="20"/>
        </w:rPr>
        <w:t>6 Правила приемки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6.1 Рулонные материалы должны быть приняты службой технического контроля предприятия-изготовителя в соответствии с требованиями настоящего стандарта и нормативного документа на конкретный вид материала,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Приемку проводят партиями.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Партией считают рулонные материалы одной марки, типа, вида и размеров, изготовленные</w:t>
      </w:r>
      <w:r>
        <w:rPr>
          <w:sz w:val="20"/>
        </w:rPr>
        <w:t xml:space="preserve"> по одному технологическому режиму, одной рецептуре в течение смены или суток. Объем партии указывают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Если до начала приемки продукцию необходимо выдержать в течение определенного времени, в нормативном документе на конкретный вид материала делают соответствующую запись.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6.2 Качество рулонных материалов проверяют по всем показателям, установленным в нормативном документе на конкретный вид материала, путем проведения приемосдаточных и периодических испытан</w:t>
      </w:r>
      <w:r>
        <w:rPr>
          <w:sz w:val="20"/>
        </w:rPr>
        <w:t>ий в соответствии с таблицей 3.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приемосдаточных и периодических испытаний может быть изменен или дополнен в соответствии с требованиями нормативного документа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6.3 Приемосдаточным испытаниям подвергают каждую партию рулонного материала, периодическим испытаниям — рулонные материалы, прошедшие приемосдаточные испытания.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6.4 Периодические испытания проводят не реже одного раза в полугодие, если в нормативном документе на конкретный вид материала не указаны иные сроки испыт</w:t>
      </w:r>
      <w:r>
        <w:rPr>
          <w:sz w:val="20"/>
        </w:rPr>
        <w:t>ания, а также при постановке продукции на производство, при изменении технологии производства и применяемого сырья.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6.5 Приемку рулонных материалов осуществляют по плану двухступенчатого выборочного контроля по альтернативному признаку, принимая установленные в таблице 4 объемы выборок, приемочные и браковочные числа.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Для приемки используют случайную выборку, при составлении которой для любого рулона обеспечивается одинаковая вероятность его отбора.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Если рулонные материалы поступают в упакованном виде, выбо</w:t>
      </w:r>
      <w:r>
        <w:rPr>
          <w:sz w:val="20"/>
        </w:rPr>
        <w:t>рку формируют из разных упакованных мест.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6.6 Выборку рулонов подвергают испытаниям по внешнему виду, линейным размерам, площади и полноте пропитки.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Таблица 3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6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испытаний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Приемосдаточные испытания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Внешний вид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Линейные размеры и площадь полотна рулона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Полнота пропитки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Разрывная сила при растяжении или условная прочность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Относительное удлинение при разрыве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Гибкость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Масса вяжущего или покровного состава, в том числе с наплавляемой стороны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Теплостойкость или изменение линей</w:t>
            </w:r>
            <w:r>
              <w:rPr>
                <w:sz w:val="20"/>
              </w:rPr>
              <w:t>ных размеров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Потеря посыпки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Масса основы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Масса 1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Периодические испытания</w:t>
            </w:r>
          </w:p>
        </w:tc>
        <w:tc>
          <w:tcPr>
            <w:tcW w:w="6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Водопоглошение</w:t>
            </w:r>
            <w:proofErr w:type="spellEnd"/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Водонепроницаемость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Относительное остаточное удлинение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Температура хрупкости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Температура размягчения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Цветостойкость</w:t>
            </w:r>
            <w:proofErr w:type="spellEnd"/>
            <w:r>
              <w:rPr>
                <w:sz w:val="20"/>
              </w:rPr>
              <w:t xml:space="preserve"> посыпки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Общее содержание растворимой части битумного состава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Потеря массы при нагревании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Химическая стойкость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Сопротивление статическому продавливанию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Сопротивление динамическому продавливанию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Сопротивление </w:t>
            </w:r>
            <w:proofErr w:type="spellStart"/>
            <w:r>
              <w:rPr>
                <w:sz w:val="20"/>
              </w:rPr>
              <w:t>раздиру</w:t>
            </w:r>
            <w:proofErr w:type="spellEnd"/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Твердость по </w:t>
            </w:r>
            <w:proofErr w:type="spellStart"/>
            <w:r>
              <w:rPr>
                <w:sz w:val="20"/>
              </w:rPr>
              <w:t>Шору</w:t>
            </w:r>
            <w:proofErr w:type="spellEnd"/>
            <w:r>
              <w:rPr>
                <w:sz w:val="20"/>
              </w:rPr>
              <w:t xml:space="preserve"> А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Паропроницаемость</w:t>
            </w:r>
            <w:proofErr w:type="spellEnd"/>
            <w:r>
              <w:rPr>
                <w:sz w:val="20"/>
              </w:rPr>
              <w:t xml:space="preserve"> или сопротивление </w:t>
            </w:r>
            <w:proofErr w:type="spellStart"/>
            <w:r>
              <w:rPr>
                <w:sz w:val="20"/>
              </w:rPr>
              <w:t>паропроницанию</w:t>
            </w:r>
            <w:proofErr w:type="spellEnd"/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Таблиц</w:t>
      </w:r>
      <w:r>
        <w:rPr>
          <w:sz w:val="20"/>
        </w:rPr>
        <w:t>а 4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211"/>
        <w:gridCol w:w="1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партии, рулон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Ступени плана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выборки, рулон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Общий объем выборки, рулон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Приемочное число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Браковочное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501 - 1200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1201 - 10000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6.7 Для определения физико-механических показателей используют рулоны, удовлетворяющие требованиям нормативного документа на конкретный вид материала по внешнему виду, линейным размерам, площади и полноте пропитки.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Если число рулонов, удовлетворяющ</w:t>
      </w:r>
      <w:r>
        <w:rPr>
          <w:sz w:val="20"/>
        </w:rPr>
        <w:t>их перечисленным требованиям, будет недостаточно, чтобы составить две выборки для проведения физико-механических испытаний, то недостающее число рулонов отбирают от той же партии, без проверки внешнего вида, линейных размеров, площади и полноты пропитки.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6.8 Из рулонов, прошедших испытания по 6.6, вырезают образцы для определения физико-механических показателей.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Число образцов (проб) для каждого вида испытаний установлено в ГОСТ 2678 и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6.9 Партию рулонного </w:t>
      </w:r>
      <w:r>
        <w:rPr>
          <w:sz w:val="20"/>
        </w:rPr>
        <w:t>материала принимают на первой ступени контроля, если число дефектных рулонов в выборке первой ступени равно приемочному числу, и бракуют, если число дефектных рулонов равно или больше браковочного числа.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Если число дефектных рулонов в выборке первой ступени больше приемочного, но меньше браковочного, то переходят к выборке второй ступени.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Партию материала принимают на второй ступени контроля, если сумма дефектных рулонов в выборке первой и второй ступеней меньше или равна приемочному числу для второй ступен</w:t>
      </w:r>
      <w:r>
        <w:rPr>
          <w:sz w:val="20"/>
        </w:rPr>
        <w:t>и контроля, и бракуют, если сумма дефектных рулонов в выборке первой и второй ступеней равна или больше браковочного числа для второй ступени контроля.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На второй ступени контроля испытания проводят по тем показателям, по которым получены неудовлетворительные результаты на первой ступени контроля.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6.10 При испытании по показателям, имеющим числовое значение, рулон считают дефектным, если среднеарифметическое значение хотя бы одного показателя не удовлетворяет требованиям нормативного документа на конкретный </w:t>
      </w:r>
      <w:r>
        <w:rPr>
          <w:sz w:val="20"/>
        </w:rPr>
        <w:t>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6.11 При испытании по показателям гибкости, теплостойкости, водонепроницаемости и </w:t>
      </w:r>
      <w:proofErr w:type="spellStart"/>
      <w:r>
        <w:rPr>
          <w:sz w:val="20"/>
        </w:rPr>
        <w:t>цветостойкости</w:t>
      </w:r>
      <w:proofErr w:type="spellEnd"/>
      <w:r>
        <w:rPr>
          <w:sz w:val="20"/>
        </w:rPr>
        <w:t xml:space="preserve"> посыпки рулон не считают дефектным при наличии одного образца, не </w:t>
      </w:r>
      <w:proofErr w:type="spellStart"/>
      <w:r>
        <w:rPr>
          <w:sz w:val="20"/>
        </w:rPr>
        <w:t>выдержившего</w:t>
      </w:r>
      <w:proofErr w:type="spellEnd"/>
      <w:r>
        <w:rPr>
          <w:sz w:val="20"/>
        </w:rPr>
        <w:t xml:space="preserve"> испытания,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При этом в общем объеме выборки один любой рулон, один образец которого не выдержал испытание по одному показателю, разрешается не учитывать при определении суммы дефектных рулонов.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6.12 При </w:t>
      </w:r>
      <w:proofErr w:type="spellStart"/>
      <w:r>
        <w:rPr>
          <w:sz w:val="20"/>
        </w:rPr>
        <w:t>забраковании</w:t>
      </w:r>
      <w:proofErr w:type="spellEnd"/>
      <w:r>
        <w:rPr>
          <w:sz w:val="20"/>
        </w:rPr>
        <w:t xml:space="preserve"> партии рулонного материала по результатам периодических испытаний необходимо провести повторную проверку п</w:t>
      </w:r>
      <w:r>
        <w:rPr>
          <w:sz w:val="20"/>
        </w:rPr>
        <w:t>о этому показателю. При получении неудовлетворительных результатов повторной проверки продукция бракуется. После устранения причин несоответствия продукции нормативному документу на конкретный вид материала контролю подвергают каждую пятую партию.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При получении удовлетворительных результатов трех последовательно проведенных испытаний допускается вернуться к обычным периодическим испытаниям.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6.13 Каждую принятую службой технического контроля партию рулонных материалов оформляют документом о качестве, в котор</w:t>
      </w:r>
      <w:r>
        <w:rPr>
          <w:sz w:val="20"/>
        </w:rPr>
        <w:t>ом указывают: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наименование или товарный знак предприятия-изготовителя;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наименование материала и его условное обозначение;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номер партии и дату изготовления;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количество рулонов в партии;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— результаты испытаний.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В документе о качестве указывают среднеарифметическое значение результатов испытаний всех рулонов в выборке.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Перечень сведений о продукции в документе о качестве может быть дополнен по согласованию с потребителем этой продукции.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ind w:firstLine="284"/>
        <w:rPr>
          <w:sz w:val="20"/>
        </w:rPr>
      </w:pPr>
      <w:r>
        <w:rPr>
          <w:sz w:val="20"/>
        </w:rPr>
        <w:t>6.14 Потребитель имеет право про</w:t>
      </w:r>
      <w:r>
        <w:rPr>
          <w:sz w:val="20"/>
        </w:rPr>
        <w:t>водить контрольную проверку материалов в соответствии с требованиями настоящего стандарта, применяя методы испытаний, указанные в ГОСТ 2678 и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ind w:firstLine="284"/>
        <w:jc w:val="center"/>
        <w:rPr>
          <w:b/>
        </w:rPr>
      </w:pPr>
      <w:r>
        <w:rPr>
          <w:b/>
          <w:sz w:val="20"/>
        </w:rPr>
        <w:t>7 Методы испытаний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7.1 Методы испытаний рулонных материалов — по ГОСТ 2678 и нормативным документам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7.2 Требования, приведенные в подразделе 4.1 настоящего стандарта,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определяют по ГОСТ 2678.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7.3 Горючесть и группы горючести определяют по ГОСТ 30244, группы распространения пламени — по Г</w:t>
      </w:r>
      <w:r>
        <w:rPr>
          <w:sz w:val="20"/>
        </w:rPr>
        <w:t>ОСТ 30444, группы воспламеняемости — по ГОСТ 30402.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8 Транспортирование и хранение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8.1 Транспортирование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8.1.1 Транспортирование рулонных материалов следует производить в крытых транспортных средствах.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По согласованию с потребителем допускается использовать другие транспортные средства, обеспечивающие сохранность рулонных материалов.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8.1.2 Погрузку в транспортные средства и перевозку рулонных материалов производят в соответствии с Правилами перевозки грузов, действующими на транспорте данного вида, и треб</w:t>
      </w:r>
      <w:r>
        <w:rPr>
          <w:sz w:val="20"/>
        </w:rPr>
        <w:t>ованиями, установленными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8.2 Хранение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8.2.1 Рулонные материалы должны храниться в условиях, обеспечивающих защиту от воздействия влаги и солнца, рассортированными по маркам.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8.2.2 Особенности хранения рулонных материалов должны быть указаны в нормативном документе на конкретный вид материала.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9 Указания по применению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9.1 Рулонные материалы должны применяться в соответствии с требованиями действующих строительных норм, сводов правил и рекомендаций (инст</w:t>
      </w:r>
      <w:r>
        <w:rPr>
          <w:sz w:val="20"/>
        </w:rPr>
        <w:t>рукций) по применению конкретного вида материала.</w:t>
      </w: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rPr>
          <w:b/>
          <w:sz w:val="20"/>
        </w:rPr>
      </w:pPr>
    </w:p>
    <w:p w:rsidR="00000000" w:rsidRDefault="007614DE">
      <w:pPr>
        <w:spacing w:line="240" w:lineRule="auto"/>
        <w:ind w:firstLine="284"/>
        <w:jc w:val="right"/>
        <w:rPr>
          <w:sz w:val="20"/>
        </w:rPr>
      </w:pPr>
      <w:r>
        <w:rPr>
          <w:b/>
          <w:sz w:val="20"/>
        </w:rPr>
        <w:t>ПРИЛОЖЕНИЕ А</w:t>
      </w:r>
    </w:p>
    <w:p w:rsidR="00000000" w:rsidRDefault="007614DE">
      <w:pPr>
        <w:spacing w:line="240" w:lineRule="auto"/>
        <w:ind w:firstLine="284"/>
        <w:jc w:val="right"/>
        <w:rPr>
          <w:sz w:val="20"/>
        </w:rPr>
      </w:pPr>
      <w:r>
        <w:rPr>
          <w:sz w:val="20"/>
        </w:rPr>
        <w:t>(обязательное)</w:t>
      </w:r>
    </w:p>
    <w:p w:rsidR="00000000" w:rsidRDefault="007614DE">
      <w:pPr>
        <w:spacing w:line="240" w:lineRule="auto"/>
        <w:ind w:firstLine="284"/>
        <w:jc w:val="right"/>
        <w:rPr>
          <w:sz w:val="20"/>
        </w:rPr>
      </w:pPr>
    </w:p>
    <w:p w:rsidR="00000000" w:rsidRDefault="007614DE">
      <w:pPr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>Показатели качества рулонных кровельных н гидроизоляционных материалов</w:t>
      </w:r>
    </w:p>
    <w:p w:rsidR="00000000" w:rsidRDefault="007614DE">
      <w:pPr>
        <w:spacing w:line="240" w:lineRule="auto"/>
        <w:ind w:firstLine="284"/>
        <w:jc w:val="center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Таблица А. 1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Применяемость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Разрывная сила при растяжении или условная прочность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всех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Гибкость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Теплостойкость или изменение линейных размеров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Водопоглощение</w:t>
            </w:r>
            <w:proofErr w:type="spellEnd"/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Водонепроницаемость*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Относительное удлинение при разрыве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полимерных кровельных и гидроизоляционных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Относительное остаточное удлин</w:t>
            </w:r>
            <w:r>
              <w:rPr>
                <w:sz w:val="20"/>
              </w:rPr>
              <w:t>ение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безосновных</w:t>
            </w:r>
            <w:proofErr w:type="spellEnd"/>
            <w:r>
              <w:rPr>
                <w:sz w:val="20"/>
              </w:rPr>
              <w:t xml:space="preserve"> полимерных и битумно-полимерных кровельных и гидроизоляционных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Сопротивление статическому продавливанию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полимерных кровельных материалов (при разработке новых материалов)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Масса вяжущего или покровного состава или масса 1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материала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основных битумных и битумно-полимерных кровельных и гидроизоляционных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Потеря посыпки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материалов с крупнозернистой и чешуйчатой посыпкой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Температура хрупкости вяжущего или покровного состава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основных битумных и битум</w:t>
            </w:r>
            <w:r>
              <w:rPr>
                <w:sz w:val="20"/>
              </w:rPr>
              <w:t>но-полимерных наплавляемых кровельных и гидроизоляционных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Цветостойкость</w:t>
            </w:r>
            <w:proofErr w:type="spellEnd"/>
            <w:r>
              <w:rPr>
                <w:sz w:val="20"/>
              </w:rPr>
              <w:t xml:space="preserve"> посыпки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материалов с цветной посыпкой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Химическая стойкость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материалов, применяемых в условиях воздействия агрессивных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Масса вяжущего или покровного состава с наплавляемой стороны</w:t>
            </w:r>
          </w:p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Для наплавляемых кровельных и гидроизоляционных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Паропроницаемость</w:t>
            </w:r>
            <w:proofErr w:type="spellEnd"/>
            <w:r>
              <w:rPr>
                <w:sz w:val="20"/>
              </w:rPr>
              <w:t xml:space="preserve"> или сопротивление </w:t>
            </w:r>
            <w:proofErr w:type="spellStart"/>
            <w:r>
              <w:rPr>
                <w:sz w:val="20"/>
              </w:rPr>
              <w:t>паропроницанию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Для материалов, предназначенных для устройства </w:t>
            </w:r>
            <w:proofErr w:type="spellStart"/>
            <w:r>
              <w:rPr>
                <w:sz w:val="20"/>
              </w:rPr>
              <w:t>пароизоляции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sz w:val="20"/>
              </w:rPr>
              <w:t>* Для материалов на перфорированной основе не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614DE">
            <w:pPr>
              <w:spacing w:line="240" w:lineRule="auto"/>
              <w:ind w:firstLine="284"/>
              <w:rPr>
                <w:sz w:val="20"/>
              </w:rPr>
            </w:pPr>
            <w:r>
              <w:rPr>
                <w:i/>
                <w:sz w:val="20"/>
              </w:rPr>
              <w:t>П</w:t>
            </w:r>
            <w:r>
              <w:rPr>
                <w:i/>
                <w:sz w:val="20"/>
              </w:rPr>
              <w:t>римечание —</w:t>
            </w:r>
            <w:r>
              <w:rPr>
                <w:sz w:val="20"/>
              </w:rPr>
              <w:t xml:space="preserve"> При необходимости номенклатура показателей может быть дополнена другими показателями по согласованию с потребителем продукции</w:t>
            </w:r>
          </w:p>
        </w:tc>
      </w:tr>
    </w:tbl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b/>
          <w:sz w:val="20"/>
        </w:rPr>
        <w:t>(Измененная редакция, Изм. № 1)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Ключевые слова: рулонные кровельные материалы, рулонные гидроизоляционные материалы, классификация, технические требования, правила приемки, методы испытаний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b/>
          <w:sz w:val="20"/>
        </w:rPr>
      </w:pPr>
      <w:r>
        <w:rPr>
          <w:b/>
          <w:sz w:val="20"/>
        </w:rPr>
        <w:t>Содержание</w:t>
      </w:r>
    </w:p>
    <w:p w:rsidR="00000000" w:rsidRDefault="007614DE">
      <w:pPr>
        <w:spacing w:line="240" w:lineRule="auto"/>
        <w:ind w:firstLine="284"/>
        <w:rPr>
          <w:sz w:val="20"/>
        </w:rPr>
      </w:pP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3 Классификация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 Общие технические требования 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4.1 Характеристики (свойства)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 xml:space="preserve">4.2 Требования к сырью и материалам 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4.3 Маркир</w:t>
      </w:r>
      <w:r>
        <w:rPr>
          <w:sz w:val="20"/>
        </w:rPr>
        <w:t>овка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4.4 Упаковка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5 Требования безопасности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6 Правила приемки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7 Методы испытаний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 Транспортирование и хранение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8.1 Транспортирование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8.2 Хранение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9 Указания по применению</w:t>
      </w:r>
    </w:p>
    <w:p w:rsidR="00000000" w:rsidRDefault="007614DE">
      <w:pPr>
        <w:spacing w:line="240" w:lineRule="auto"/>
        <w:ind w:firstLine="284"/>
        <w:rPr>
          <w:sz w:val="20"/>
        </w:rPr>
      </w:pPr>
      <w:r>
        <w:rPr>
          <w:sz w:val="20"/>
        </w:rPr>
        <w:t>Приложение А Показатели качества рулонных кровельных и гидроизоляционных материалов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DE"/>
    <w:rsid w:val="007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4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3591</Words>
  <Characters>20473</Characters>
  <Application>Microsoft Office Word</Application>
  <DocSecurity>0</DocSecurity>
  <Lines>170</Lines>
  <Paragraphs>48</Paragraphs>
  <ScaleCrop>false</ScaleCrop>
  <Company>Elcom Ltd</Company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30547—97</dc:title>
  <dc:subject/>
  <dc:creator>CNTI</dc:creator>
  <cp:keywords/>
  <dc:description/>
  <cp:lastModifiedBy>Parhomeiai</cp:lastModifiedBy>
  <cp:revision>2</cp:revision>
  <dcterms:created xsi:type="dcterms:W3CDTF">2013-04-11T11:02:00Z</dcterms:created>
  <dcterms:modified xsi:type="dcterms:W3CDTF">2013-04-11T11:02:00Z</dcterms:modified>
</cp:coreProperties>
</file>