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4D1C">
      <w:pPr>
        <w:jc w:val="center"/>
        <w:rPr>
          <w:b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604D1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604D1C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ЦЕМЕНТЫ.</w:t>
      </w:r>
    </w:p>
    <w:p w:rsidR="00000000" w:rsidRDefault="00604D1C">
      <w:pPr>
        <w:ind w:firstLine="284"/>
        <w:jc w:val="center"/>
        <w:rPr>
          <w:b/>
        </w:rPr>
      </w:pPr>
      <w:r>
        <w:rPr>
          <w:b/>
        </w:rPr>
        <w:t>МЕТОД ОПРЕДЕЛЕНИЯ ВОДООТДЕЛЕНИЯ</w:t>
      </w:r>
    </w:p>
    <w:p w:rsidR="00000000" w:rsidRDefault="00604D1C">
      <w:pPr>
        <w:spacing w:before="120"/>
        <w:ind w:firstLine="284"/>
        <w:jc w:val="center"/>
        <w:rPr>
          <w:b/>
        </w:rPr>
      </w:pPr>
      <w:r>
        <w:rPr>
          <w:b/>
        </w:rPr>
        <w:t>ГОСТ 310.6-85</w:t>
      </w:r>
    </w:p>
    <w:p w:rsidR="00000000" w:rsidRDefault="00604D1C">
      <w:pPr>
        <w:spacing w:before="120"/>
        <w:ind w:firstLine="284"/>
        <w:jc w:val="center"/>
        <w:rPr>
          <w:b/>
        </w:rPr>
      </w:pPr>
    </w:p>
    <w:p w:rsidR="00000000" w:rsidRDefault="00604D1C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604D1C">
      <w:pPr>
        <w:ind w:firstLine="284"/>
        <w:jc w:val="center"/>
      </w:pPr>
      <w:r>
        <w:t>МОСКВА</w:t>
      </w:r>
    </w:p>
    <w:p w:rsidR="00000000" w:rsidRDefault="00604D1C">
      <w:pPr>
        <w:ind w:firstLine="284"/>
        <w:jc w:val="center"/>
        <w:rPr>
          <w:lang w:val="en-US"/>
        </w:rPr>
      </w:pPr>
    </w:p>
    <w:p w:rsidR="00000000" w:rsidRDefault="00604D1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604D1C">
      <w:pPr>
        <w:tabs>
          <w:tab w:val="left" w:pos="2694"/>
        </w:tabs>
        <w:spacing w:before="120"/>
        <w:ind w:left="720" w:firstLine="414"/>
        <w:rPr>
          <w:b/>
        </w:rPr>
      </w:pPr>
      <w:r>
        <w:rPr>
          <w:b/>
        </w:rPr>
        <w:t>ЦЕМЕНТЫ</w:t>
      </w:r>
    </w:p>
    <w:p w:rsidR="00000000" w:rsidRDefault="00604D1C">
      <w:pPr>
        <w:spacing w:before="120"/>
        <w:ind w:firstLine="142"/>
        <w:rPr>
          <w:b/>
          <w:lang w:val="en-US"/>
        </w:rPr>
      </w:pPr>
      <w:r>
        <w:rPr>
          <w:b/>
        </w:rPr>
        <w:t>Методы определения водоотделения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ГОСТ </w:t>
      </w:r>
    </w:p>
    <w:p w:rsidR="00000000" w:rsidRDefault="00604D1C">
      <w:pPr>
        <w:spacing w:after="120"/>
        <w:ind w:left="144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310.6-85</w:t>
      </w:r>
    </w:p>
    <w:p w:rsidR="00000000" w:rsidRDefault="00604D1C">
      <w:pPr>
        <w:ind w:right="1701" w:firstLine="1276"/>
      </w:pPr>
      <w:r>
        <w:rPr>
          <w:lang w:val="en-US"/>
        </w:rPr>
        <w:t>Cements.</w:t>
      </w:r>
      <w:r>
        <w:t xml:space="preserve"> </w:t>
      </w:r>
    </w:p>
    <w:p w:rsidR="00000000" w:rsidRDefault="00604D1C">
      <w:pPr>
        <w:ind w:right="2126" w:firstLine="142"/>
      </w:pPr>
      <w:r>
        <w:rPr>
          <w:lang w:val="en-US"/>
        </w:rPr>
        <w:t>Method of water separat</w:t>
      </w:r>
      <w:r>
        <w:rPr>
          <w:lang w:val="en-US"/>
        </w:rPr>
        <w:t>ion determination</w:t>
      </w:r>
    </w:p>
    <w:p w:rsidR="00000000" w:rsidRDefault="00604D1C">
      <w:pPr>
        <w:pBdr>
          <w:top w:val="single" w:sz="6" w:space="1" w:color="auto"/>
        </w:pBdr>
        <w:ind w:firstLine="284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01.01.86</w:t>
      </w:r>
    </w:p>
    <w:p w:rsidR="00000000" w:rsidRDefault="00604D1C">
      <w:pPr>
        <w:ind w:firstLine="284"/>
        <w:jc w:val="both"/>
      </w:pPr>
    </w:p>
    <w:p w:rsidR="00000000" w:rsidRDefault="00604D1C">
      <w:pPr>
        <w:ind w:firstLine="284"/>
        <w:jc w:val="both"/>
      </w:pPr>
      <w:r>
        <w:t>Настоящий стандарт распространяется на цементы, для кото</w:t>
      </w:r>
      <w:r>
        <w:softHyphen/>
        <w:t>рых уста</w:t>
      </w:r>
      <w:r>
        <w:softHyphen/>
        <w:t>но</w:t>
      </w:r>
      <w:r>
        <w:softHyphen/>
        <w:t>в</w:t>
      </w:r>
      <w:r>
        <w:softHyphen/>
        <w:t>лены требования по водоотделению, и устанавлива</w:t>
      </w:r>
      <w:r>
        <w:softHyphen/>
        <w:t>ет метод определения этого показателя.</w:t>
      </w:r>
    </w:p>
    <w:p w:rsidR="00000000" w:rsidRDefault="00604D1C">
      <w:pPr>
        <w:pStyle w:val="1"/>
      </w:pPr>
      <w:r>
        <w:t>1. АППАРАТУРА</w:t>
      </w:r>
    </w:p>
    <w:p w:rsidR="00000000" w:rsidRDefault="00604D1C">
      <w:pPr>
        <w:ind w:firstLine="284"/>
        <w:jc w:val="both"/>
      </w:pPr>
      <w:r>
        <w:t xml:space="preserve">Фарфоровый стакан вместимостью 1 л. </w:t>
      </w:r>
    </w:p>
    <w:p w:rsidR="00000000" w:rsidRDefault="00604D1C">
      <w:pPr>
        <w:ind w:firstLine="284"/>
        <w:jc w:val="both"/>
      </w:pPr>
      <w:r>
        <w:t xml:space="preserve">Металлический шпатель. </w:t>
      </w:r>
    </w:p>
    <w:p w:rsidR="00000000" w:rsidRDefault="00604D1C">
      <w:pPr>
        <w:ind w:firstLine="284"/>
        <w:jc w:val="both"/>
      </w:pPr>
      <w:r>
        <w:t>Весы квадрантные ВЛКТ-2 кг-М.</w:t>
      </w:r>
    </w:p>
    <w:p w:rsidR="00000000" w:rsidRDefault="00604D1C">
      <w:pPr>
        <w:ind w:firstLine="284"/>
        <w:jc w:val="both"/>
      </w:pPr>
      <w:r>
        <w:t>Градуированный стеклянный цилиндр вместимостью 500 мл по ГОСТ 1770.</w:t>
      </w:r>
    </w:p>
    <w:p w:rsidR="00000000" w:rsidRDefault="00604D1C">
      <w:pPr>
        <w:pStyle w:val="1"/>
      </w:pPr>
      <w:r>
        <w:t>2. ПРОВЕДЕНИЕ ИСПЫТАНИЯ</w:t>
      </w:r>
    </w:p>
    <w:p w:rsidR="00000000" w:rsidRDefault="00604D1C">
      <w:pPr>
        <w:ind w:firstLine="284"/>
        <w:jc w:val="both"/>
      </w:pPr>
      <w:r>
        <w:t>2.1. Общие условия проведения испытания и точность отвешивания материалов должны соответствовать требованиям ГОСТ 3</w:t>
      </w:r>
      <w:r>
        <w:t>10.1.</w:t>
      </w:r>
    </w:p>
    <w:p w:rsidR="00000000" w:rsidRDefault="00604D1C">
      <w:pPr>
        <w:ind w:firstLine="284"/>
        <w:jc w:val="both"/>
      </w:pPr>
      <w:r>
        <w:t>2.2. Отвешивают 350 г цемента и 350 г воды. Воду выливают в фарфоровый стакан, затем в стакан в течение 1 мин высыпают навеску цемента, непрерывно перемешивая содержимое металли</w:t>
      </w:r>
      <w:r>
        <w:softHyphen/>
        <w:t>ческим шпа</w:t>
      </w:r>
      <w:r>
        <w:softHyphen/>
        <w:t>телем. Полученное цементное тесто перемешивают еще 4 мни и осторожно переливают в градуированный цилиндр. Цилиндр с цементным тестом ставят на стол и тотчас же отсчитывают объем цементного теста. В течение всего времени испытаний цилиндр должен стоять неподвижно и не подвергаться толчкам и встряхиванием.</w:t>
      </w:r>
    </w:p>
    <w:p w:rsidR="00000000" w:rsidRDefault="00604D1C">
      <w:pPr>
        <w:ind w:firstLine="284"/>
        <w:jc w:val="both"/>
      </w:pPr>
      <w:r>
        <w:t>Объем осевш</w:t>
      </w:r>
      <w:r>
        <w:t>его цементного теста (в мл) отмечают через 2 ч после первого отсчета и через каждые 30 мин при дальнейших на</w:t>
      </w:r>
      <w:r>
        <w:softHyphen/>
        <w:t>блюдениях. При совпадении двух последних отсчетов дальнейшее наблюдение прекращают, а содержимое цилиндра выливают.</w:t>
      </w:r>
    </w:p>
    <w:p w:rsidR="00000000" w:rsidRDefault="00604D1C">
      <w:pPr>
        <w:pStyle w:val="1"/>
      </w:pPr>
      <w:r>
        <w:t>3. ОБРАБОТКА РЕЗУЛЬТАТОВ</w:t>
      </w:r>
    </w:p>
    <w:p w:rsidR="00000000" w:rsidRDefault="00604D1C">
      <w:pPr>
        <w:ind w:firstLine="284"/>
        <w:jc w:val="both"/>
      </w:pPr>
      <w:r>
        <w:t>3.1. Коэффициент водоотделения (объемный) (</w:t>
      </w:r>
      <w:r>
        <w:rPr>
          <w:i/>
        </w:rPr>
        <w:t>К</w:t>
      </w:r>
      <w:r>
        <w:rPr>
          <w:vertAlign w:val="subscript"/>
        </w:rPr>
        <w:t>в</w:t>
      </w:r>
      <w:r>
        <w:t>) в процентах вычисляют по формуле</w:t>
      </w:r>
    </w:p>
    <w:p w:rsidR="00000000" w:rsidRDefault="00604D1C">
      <w:pPr>
        <w:ind w:firstLine="284"/>
        <w:jc w:val="center"/>
      </w:pPr>
      <w:r>
        <w:rPr>
          <w:position w:val="-18"/>
        </w:rPr>
        <w:object w:dxaOrig="1200" w:dyaOrig="480">
          <v:shape id="_x0000_i1026" type="#_x0000_t75" style="width:60pt;height:24pt" o:ole="">
            <v:imagedata r:id="rId5" o:title=""/>
          </v:shape>
          <o:OLEObject Type="Embed" ProgID="Equation.2" ShapeID="_x0000_i1026" DrawAspect="Content" ObjectID="_1427202889" r:id="rId6"/>
        </w:object>
      </w:r>
      <w:r>
        <w:t>,</w:t>
      </w:r>
    </w:p>
    <w:p w:rsidR="00000000" w:rsidRDefault="00604D1C">
      <w:pPr>
        <w:ind w:firstLine="284"/>
        <w:jc w:val="both"/>
      </w:pPr>
      <w:r>
        <w:t xml:space="preserve">где   </w:t>
      </w:r>
      <w:r>
        <w:rPr>
          <w:i/>
        </w:rPr>
        <w:t>а</w:t>
      </w:r>
      <w:r>
        <w:t xml:space="preserve"> - первоначальный объем цементного теста, см</w:t>
      </w:r>
      <w:r>
        <w:rPr>
          <w:vertAlign w:val="superscript"/>
        </w:rPr>
        <w:t>3</w:t>
      </w:r>
      <w:r>
        <w:t>;</w:t>
      </w:r>
    </w:p>
    <w:p w:rsidR="00000000" w:rsidRDefault="00604D1C">
      <w:pPr>
        <w:ind w:firstLine="709"/>
        <w:jc w:val="both"/>
      </w:pPr>
      <w:r>
        <w:rPr>
          <w:i/>
        </w:rPr>
        <w:t>в</w:t>
      </w:r>
      <w:r>
        <w:t xml:space="preserve"> - объем осевшего цементного теста, см</w:t>
      </w:r>
      <w:r>
        <w:rPr>
          <w:vertAlign w:val="superscript"/>
        </w:rPr>
        <w:t>3</w:t>
      </w:r>
      <w:r>
        <w:t>.</w:t>
      </w:r>
    </w:p>
    <w:p w:rsidR="00000000" w:rsidRDefault="00604D1C">
      <w:pPr>
        <w:ind w:firstLine="284"/>
        <w:jc w:val="both"/>
      </w:pPr>
      <w:r>
        <w:t>Производят два параллельных определения. Водоотделение оп</w:t>
      </w:r>
      <w:r>
        <w:softHyphen/>
        <w:t>ред</w:t>
      </w:r>
      <w:r>
        <w:t>еляют как среднее из двух определений. Отклонение в резуль</w:t>
      </w:r>
      <w:r>
        <w:softHyphen/>
        <w:t>татах параллельных определений не должно превышать 1 %.</w:t>
      </w:r>
    </w:p>
    <w:p w:rsidR="00000000" w:rsidRDefault="00604D1C">
      <w:pPr>
        <w:pStyle w:val="1"/>
      </w:pPr>
      <w:r>
        <w:t>ИНФОРМАЦИОННЫЕ ДАННЫЕ</w:t>
      </w:r>
    </w:p>
    <w:p w:rsidR="00000000" w:rsidRDefault="00604D1C">
      <w:pPr>
        <w:spacing w:after="120"/>
        <w:ind w:left="284"/>
        <w:jc w:val="both"/>
        <w:rPr>
          <w:b/>
        </w:rPr>
      </w:pPr>
      <w:r>
        <w:rPr>
          <w:b/>
        </w:rPr>
        <w:t>1. РАЗРАБОТАН Министерством промышленности строите</w:t>
      </w:r>
      <w:r>
        <w:rPr>
          <w:b/>
        </w:rPr>
        <w:softHyphen/>
        <w:t>льных материалов СССР</w:t>
      </w:r>
    </w:p>
    <w:p w:rsidR="00000000" w:rsidRDefault="00604D1C">
      <w:pPr>
        <w:spacing w:after="120"/>
        <w:ind w:left="284"/>
        <w:jc w:val="both"/>
        <w:rPr>
          <w:b/>
        </w:rPr>
      </w:pPr>
      <w:r>
        <w:rPr>
          <w:b/>
        </w:rPr>
        <w:t>Государственным комитетом СССР   по делам строительства Министерством энергетики и электрификации СССР</w:t>
      </w:r>
    </w:p>
    <w:p w:rsidR="00000000" w:rsidRDefault="00604D1C">
      <w:pPr>
        <w:spacing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604D1C">
      <w:pPr>
        <w:spacing w:after="120"/>
        <w:ind w:left="284"/>
        <w:jc w:val="both"/>
        <w:rPr>
          <w:b/>
        </w:rPr>
      </w:pPr>
      <w:r>
        <w:rPr>
          <w:b/>
        </w:rPr>
        <w:t xml:space="preserve">Н. П. Штейерт; М. А. Астахова, </w:t>
      </w:r>
      <w:r>
        <w:t>канд. техн. наук;</w:t>
      </w:r>
      <w:r>
        <w:rPr>
          <w:b/>
        </w:rPr>
        <w:t xml:space="preserve"> 3. Б. Энтин, </w:t>
      </w:r>
      <w:r>
        <w:t>канд.</w:t>
      </w:r>
      <w:r>
        <w:rPr>
          <w:b/>
        </w:rPr>
        <w:t xml:space="preserve"> </w:t>
      </w:r>
      <w:r>
        <w:t>техн. наук;</w:t>
      </w:r>
      <w:r>
        <w:rPr>
          <w:b/>
        </w:rPr>
        <w:t xml:space="preserve"> В. П. Рязин, </w:t>
      </w:r>
      <w:r>
        <w:t>канд. техн. наук;</w:t>
      </w:r>
      <w:r>
        <w:rPr>
          <w:b/>
        </w:rPr>
        <w:t xml:space="preserve"> Л. А. Малинина, </w:t>
      </w:r>
      <w:r>
        <w:t>д-р</w:t>
      </w:r>
      <w:r>
        <w:rPr>
          <w:b/>
        </w:rPr>
        <w:t xml:space="preserve"> </w:t>
      </w:r>
      <w:r>
        <w:t>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Л. С. Клюева, </w:t>
      </w:r>
      <w:r>
        <w:t>канд. техн. наук (руко</w:t>
      </w:r>
      <w:r>
        <w:softHyphen/>
        <w:t>водите</w:t>
      </w:r>
      <w:r>
        <w:t>ли темы);</w:t>
      </w:r>
      <w:r>
        <w:rPr>
          <w:b/>
        </w:rPr>
        <w:t xml:space="preserve"> Б. И. Подобрянская; Л. С. Гейдарова; Л. А. Левейкес; Е. Т. Яшина; М. И. Бруссер, </w:t>
      </w:r>
      <w:r>
        <w:t>канд. техн. наук;</w:t>
      </w:r>
      <w:r>
        <w:rPr>
          <w:b/>
        </w:rPr>
        <w:t xml:space="preserve"> И. А. Комарова; Ю. М. Милянцевич; В. Б. Судаков, </w:t>
      </w:r>
      <w:r>
        <w:t>канд. техн. наук;</w:t>
      </w:r>
      <w:r>
        <w:rPr>
          <w:b/>
        </w:rPr>
        <w:t xml:space="preserve"> Ц. Г. Гинзбург, </w:t>
      </w:r>
      <w:r>
        <w:t>канд. техн. наук;</w:t>
      </w:r>
      <w:r>
        <w:rPr>
          <w:b/>
        </w:rPr>
        <w:t xml:space="preserve"> А. А. Борисов, </w:t>
      </w:r>
      <w:r>
        <w:t>канд. техн. наук;</w:t>
      </w:r>
      <w:r>
        <w:rPr>
          <w:b/>
        </w:rPr>
        <w:t xml:space="preserve"> Н. Е. Микиртумова</w:t>
      </w:r>
    </w:p>
    <w:p w:rsidR="00000000" w:rsidRDefault="00604D1C">
      <w:pPr>
        <w:spacing w:after="120"/>
        <w:ind w:left="284"/>
        <w:jc w:val="both"/>
        <w:rPr>
          <w:b/>
        </w:rPr>
      </w:pPr>
      <w:r>
        <w:rPr>
          <w:b/>
        </w:rPr>
        <w:t>2. ВНЕСЕН Министерством промышленности строительных мате</w:t>
      </w:r>
      <w:r>
        <w:rPr>
          <w:b/>
        </w:rPr>
        <w:softHyphen/>
        <w:t>риалов СССР</w:t>
      </w:r>
    </w:p>
    <w:p w:rsidR="00000000" w:rsidRDefault="00604D1C">
      <w:pPr>
        <w:spacing w:after="120"/>
        <w:ind w:left="284"/>
        <w:jc w:val="both"/>
        <w:rPr>
          <w:b/>
        </w:rPr>
      </w:pPr>
      <w:r>
        <w:rPr>
          <w:b/>
        </w:rPr>
        <w:t>УТВЕРЖДЕН И ВВЕДЕН В ДЕЙСТВИЕ   Постановлением Государственного   комитета СССР по делам строительства от 26.02.85 № 19</w:t>
      </w:r>
    </w:p>
    <w:p w:rsidR="00000000" w:rsidRDefault="00604D1C">
      <w:pPr>
        <w:spacing w:after="120"/>
        <w:ind w:firstLine="284"/>
        <w:jc w:val="both"/>
        <w:rPr>
          <w:b/>
        </w:rPr>
      </w:pPr>
      <w:r>
        <w:rPr>
          <w:b/>
        </w:rPr>
        <w:t>3. ВВЕДЕН ВПЕРВЫЕ</w:t>
      </w:r>
    </w:p>
    <w:p w:rsidR="00000000" w:rsidRDefault="00604D1C">
      <w:pPr>
        <w:spacing w:after="120"/>
        <w:ind w:left="284"/>
        <w:jc w:val="both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2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4D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4D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4D1C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310.1-76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4D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4D1C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1770-74</w:t>
            </w:r>
          </w:p>
        </w:tc>
        <w:tc>
          <w:tcPr>
            <w:tcW w:w="2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4D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000000" w:rsidRDefault="00604D1C">
      <w:pPr>
        <w:spacing w:before="120"/>
        <w:ind w:firstLine="284"/>
        <w:jc w:val="both"/>
        <w:rPr>
          <w:b/>
        </w:rPr>
      </w:pPr>
      <w:r>
        <w:rPr>
          <w:b/>
        </w:rPr>
        <w:t>5. Переиздание. Ноябрь 1992 г.</w:t>
      </w:r>
    </w:p>
    <w:sectPr w:rsidR="00000000">
      <w:pgSz w:w="11907" w:h="16840" w:code="9"/>
      <w:pgMar w:top="1701" w:right="4536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D1C"/>
    <w:rsid w:val="00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5" Target="media/image2.wmf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>СНИиП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310.6-85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25770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