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7450">
      <w:pPr>
        <w:pStyle w:val="FR1"/>
        <w:spacing w:before="0" w:line="240" w:lineRule="auto"/>
        <w:ind w:firstLine="284"/>
        <w:jc w:val="right"/>
        <w:rPr>
          <w:rFonts w:ascii="Times New Roman" w:hAnsi="Times New Roman"/>
          <w:b w:val="0"/>
          <w:sz w:val="20"/>
        </w:rPr>
      </w:pPr>
      <w:bookmarkStart w:id="0" w:name="_GoBack"/>
      <w:bookmarkEnd w:id="0"/>
      <w:r>
        <w:rPr>
          <w:rFonts w:ascii="Times New Roman" w:hAnsi="Times New Roman"/>
          <w:b w:val="0"/>
          <w:sz w:val="20"/>
        </w:rPr>
        <w:t>ГОСТ 4.200—78</w:t>
      </w:r>
    </w:p>
    <w:p w:rsidR="00000000" w:rsidRDefault="00FD7450">
      <w:pPr>
        <w:pStyle w:val="FR1"/>
        <w:spacing w:before="0" w:line="240" w:lineRule="auto"/>
        <w:ind w:firstLine="284"/>
        <w:jc w:val="right"/>
        <w:rPr>
          <w:rFonts w:ascii="Times New Roman" w:hAnsi="Times New Roman"/>
          <w:b w:val="0"/>
          <w:sz w:val="20"/>
        </w:rPr>
      </w:pPr>
    </w:p>
    <w:p w:rsidR="00000000" w:rsidRDefault="00FD7450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УДК 69 : 658.562 : 006.354                                                                                        Группа Ж01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FD7450">
      <w:pPr>
        <w:ind w:left="0" w:firstLine="284"/>
        <w:jc w:val="center"/>
      </w:pPr>
    </w:p>
    <w:p w:rsidR="00000000" w:rsidRDefault="00FD7450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</w:t>
      </w:r>
    </w:p>
    <w:p w:rsidR="00000000" w:rsidRDefault="00FD7450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</w:p>
    <w:p w:rsidR="00000000" w:rsidRDefault="00FD7450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FD7450">
      <w:pPr>
        <w:pStyle w:val="FR1"/>
        <w:spacing w:before="0" w:line="240" w:lineRule="auto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Основные положения</w:t>
      </w:r>
    </w:p>
    <w:p w:rsidR="00000000" w:rsidRDefault="00FD7450">
      <w:pPr>
        <w:ind w:left="0" w:firstLine="284"/>
        <w:jc w:val="center"/>
      </w:pPr>
    </w:p>
    <w:p w:rsidR="00000000" w:rsidRDefault="00FD7450">
      <w:pPr>
        <w:ind w:left="0" w:firstLine="284"/>
        <w:jc w:val="center"/>
        <w:rPr>
          <w:b/>
        </w:rPr>
      </w:pPr>
      <w:r>
        <w:t>Quali</w:t>
      </w:r>
      <w:r>
        <w:t>ty ratings system. Building.</w:t>
      </w:r>
      <w:r>
        <w:rPr>
          <w:b/>
        </w:rPr>
        <w:tab/>
      </w:r>
    </w:p>
    <w:p w:rsidR="00000000" w:rsidRDefault="00FD7450">
      <w:pPr>
        <w:ind w:left="0" w:firstLine="284"/>
        <w:jc w:val="center"/>
      </w:pPr>
      <w:r>
        <w:t>General principles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Государственного комитета СССР по делам строительства от 25 октября 1978 г. № 208 срок введения установлен</w:t>
      </w:r>
    </w:p>
    <w:p w:rsidR="00000000" w:rsidRDefault="00FD7450">
      <w:pPr>
        <w:ind w:left="0" w:firstLine="284"/>
        <w:jc w:val="right"/>
      </w:pPr>
      <w:r>
        <w:rPr>
          <w:b/>
          <w:u w:val="single"/>
        </w:rPr>
        <w:t>с 01.07. 1979 г.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Государственным комитетом СССР по делам строительства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Государственным комитетом по гражданскому строительству и архитектуре при Госстрое СССР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промышленности строительных материалов СССР Государственным комитетом Украинской ССР по делам строительства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>С. Н. Нерсесов,</w:t>
      </w:r>
      <w:r>
        <w:rPr>
          <w:rFonts w:ascii="Times New Roman" w:hAnsi="Times New Roman"/>
          <w:b w:val="0"/>
          <w:sz w:val="20"/>
        </w:rPr>
        <w:t xml:space="preserve"> канд. техн. наук (</w:t>
      </w:r>
      <w:r>
        <w:rPr>
          <w:rFonts w:ascii="Times New Roman" w:hAnsi="Times New Roman"/>
          <w:b w:val="0"/>
          <w:sz w:val="20"/>
        </w:rPr>
        <w:t>руководитель темы);</w:t>
      </w:r>
      <w:r>
        <w:rPr>
          <w:rFonts w:ascii="Times New Roman" w:hAnsi="Times New Roman"/>
          <w:sz w:val="20"/>
        </w:rPr>
        <w:t xml:space="preserve"> Р. И. Веселова; В. А. Швыряев,</w:t>
      </w:r>
      <w:r>
        <w:rPr>
          <w:rFonts w:ascii="Times New Roman" w:hAnsi="Times New Roman"/>
          <w:b w:val="0"/>
          <w:sz w:val="20"/>
        </w:rPr>
        <w:t xml:space="preserve"> канд. техн. наук;</w:t>
      </w:r>
      <w:r>
        <w:rPr>
          <w:rFonts w:ascii="Times New Roman" w:hAnsi="Times New Roman"/>
          <w:sz w:val="20"/>
        </w:rPr>
        <w:t xml:space="preserve"> Д. А. Коршунов,</w:t>
      </w:r>
      <w:r>
        <w:rPr>
          <w:rFonts w:ascii="Times New Roman" w:hAnsi="Times New Roman"/>
          <w:b w:val="0"/>
          <w:sz w:val="20"/>
        </w:rPr>
        <w:t xml:space="preserve"> канд. техн. наук;</w:t>
      </w:r>
      <w:r>
        <w:rPr>
          <w:rFonts w:ascii="Times New Roman" w:hAnsi="Times New Roman"/>
          <w:sz w:val="20"/>
        </w:rPr>
        <w:t xml:space="preserve"> 3. Б. Энтин,</w:t>
      </w:r>
      <w:r>
        <w:rPr>
          <w:rFonts w:ascii="Times New Roman" w:hAnsi="Times New Roman"/>
          <w:b w:val="0"/>
          <w:sz w:val="20"/>
        </w:rPr>
        <w:t xml:space="preserve"> канд. техн. наук;</w:t>
      </w:r>
      <w:r>
        <w:rPr>
          <w:rFonts w:ascii="Times New Roman" w:hAnsi="Times New Roman"/>
          <w:sz w:val="20"/>
        </w:rPr>
        <w:t xml:space="preserve"> В. А. Апенько; Д. Б. Хазанов,</w:t>
      </w:r>
      <w:r>
        <w:rPr>
          <w:rFonts w:ascii="Times New Roman" w:hAnsi="Times New Roman"/>
          <w:b w:val="0"/>
          <w:sz w:val="20"/>
        </w:rPr>
        <w:t xml:space="preserve"> канд. архитектуры; </w:t>
      </w:r>
      <w:r>
        <w:rPr>
          <w:rFonts w:ascii="Times New Roman" w:hAnsi="Times New Roman"/>
          <w:sz w:val="20"/>
        </w:rPr>
        <w:t>Л. С. Экслер; Н. Е. Фрумин,</w:t>
      </w:r>
      <w:r>
        <w:rPr>
          <w:rFonts w:ascii="Times New Roman" w:hAnsi="Times New Roman"/>
          <w:b w:val="0"/>
          <w:sz w:val="20"/>
        </w:rPr>
        <w:t xml:space="preserve"> канд. техн. наук;</w:t>
      </w:r>
      <w:r>
        <w:rPr>
          <w:rFonts w:ascii="Times New Roman" w:hAnsi="Times New Roman"/>
          <w:sz w:val="20"/>
        </w:rPr>
        <w:t xml:space="preserve"> Л. И. Покрасс,</w:t>
      </w:r>
      <w:r>
        <w:rPr>
          <w:rFonts w:ascii="Times New Roman" w:hAnsi="Times New Roman"/>
          <w:b w:val="0"/>
          <w:sz w:val="20"/>
        </w:rPr>
        <w:t xml:space="preserve"> канд. техн. наук;</w:t>
      </w:r>
      <w:r>
        <w:rPr>
          <w:rFonts w:ascii="Times New Roman" w:hAnsi="Times New Roman"/>
          <w:sz w:val="20"/>
        </w:rPr>
        <w:t xml:space="preserve"> В. И. Агаджанов,</w:t>
      </w:r>
      <w:r>
        <w:rPr>
          <w:rFonts w:ascii="Times New Roman" w:hAnsi="Times New Roman"/>
          <w:b w:val="0"/>
          <w:sz w:val="20"/>
        </w:rPr>
        <w:t xml:space="preserve"> канд. техн. наук;</w:t>
      </w:r>
      <w:r>
        <w:rPr>
          <w:rFonts w:ascii="Times New Roman" w:hAnsi="Times New Roman"/>
          <w:sz w:val="20"/>
        </w:rPr>
        <w:t xml:space="preserve"> В. А. Клевцов,</w:t>
      </w:r>
      <w:r>
        <w:rPr>
          <w:rFonts w:ascii="Times New Roman" w:hAnsi="Times New Roman"/>
          <w:b w:val="0"/>
          <w:sz w:val="20"/>
        </w:rPr>
        <w:t xml:space="preserve"> канд. техн. наук; </w:t>
      </w:r>
      <w:r>
        <w:rPr>
          <w:rFonts w:ascii="Times New Roman" w:hAnsi="Times New Roman"/>
          <w:sz w:val="20"/>
        </w:rPr>
        <w:t>Н. И. Комаров,</w:t>
      </w:r>
      <w:r>
        <w:rPr>
          <w:rFonts w:ascii="Times New Roman" w:hAnsi="Times New Roman"/>
          <w:b w:val="0"/>
          <w:sz w:val="20"/>
        </w:rPr>
        <w:t xml:space="preserve"> канд. техн. наук;</w:t>
      </w:r>
      <w:r>
        <w:rPr>
          <w:rFonts w:ascii="Times New Roman" w:hAnsi="Times New Roman"/>
          <w:sz w:val="20"/>
        </w:rPr>
        <w:t xml:space="preserve"> М. Г. Коревицкая,</w:t>
      </w:r>
      <w:r>
        <w:rPr>
          <w:rFonts w:ascii="Times New Roman" w:hAnsi="Times New Roman"/>
          <w:b w:val="0"/>
          <w:sz w:val="20"/>
        </w:rPr>
        <w:t xml:space="preserve"> канд. техн. наук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Государственным комитетом СССР по делам строительства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Член Коллегии</w:t>
      </w:r>
      <w:r>
        <w:rPr>
          <w:rFonts w:ascii="Times New Roman" w:hAnsi="Times New Roman"/>
          <w:sz w:val="20"/>
        </w:rPr>
        <w:t xml:space="preserve"> В. И. Сычев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</w:t>
      </w:r>
      <w:r>
        <w:rPr>
          <w:rFonts w:ascii="Times New Roman" w:hAnsi="Times New Roman"/>
          <w:sz w:val="20"/>
        </w:rPr>
        <w:t>ТВИЕ Постановлением Государственного комитета СССР по делам строительства от 25 октября 1978 г. № 208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  <w:r>
        <w:t>Настоящий стандарт устанавливает основные положения системы показателей качества строительных материалов, конструкций, зданий и сооружений и их элементов, инженерного оборудования, а также оснастки и инструмента.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FD7450">
      <w:pPr>
        <w:ind w:left="0" w:firstLine="284"/>
        <w:jc w:val="both"/>
      </w:pPr>
      <w:r>
        <w:t>1.1. Система показателей качества продукции. Строительство (СПКПС) — комплекс государственных стандартов, устанавливающих номенклатуру показателей качества конкретных групп и</w:t>
      </w:r>
      <w:r>
        <w:t xml:space="preserve"> видов промышленной продукции, применяемой в строительстве, и номенклатуру показателей качества отдельных зданий и сооружений массового строительства и их элементов, а также область применения критериев и показателей качества, установленных этими стандартами.</w:t>
      </w:r>
    </w:p>
    <w:p w:rsidR="00000000" w:rsidRDefault="00FD7450">
      <w:pPr>
        <w:ind w:left="0" w:firstLine="284"/>
        <w:jc w:val="both"/>
      </w:pPr>
      <w:r>
        <w:t>1.2. СПКПС устанавливает единые критерии и номенклатуру показателей качества продукции, применяемые при:</w:t>
      </w:r>
    </w:p>
    <w:p w:rsidR="00000000" w:rsidRDefault="00FD7450">
      <w:pPr>
        <w:ind w:left="0" w:firstLine="284"/>
        <w:jc w:val="both"/>
      </w:pPr>
      <w:r>
        <w:t>разработке стандартов, технических условий и других нормативных документов;</w:t>
      </w:r>
    </w:p>
    <w:p w:rsidR="00000000" w:rsidRDefault="00FD7450">
      <w:pPr>
        <w:ind w:left="0" w:firstLine="284"/>
        <w:jc w:val="both"/>
      </w:pPr>
      <w:r>
        <w:t>выборе оптимального варианта новой продукции;</w:t>
      </w:r>
    </w:p>
    <w:p w:rsidR="00000000" w:rsidRDefault="00FD7450">
      <w:pPr>
        <w:ind w:left="0" w:firstLine="284"/>
        <w:jc w:val="both"/>
      </w:pPr>
      <w:r>
        <w:t>аттестации продукции, про</w:t>
      </w:r>
      <w:r>
        <w:t>гнозировании и планировании ее качества;</w:t>
      </w:r>
    </w:p>
    <w:p w:rsidR="00000000" w:rsidRDefault="00FD7450">
      <w:pPr>
        <w:ind w:left="0" w:firstLine="284"/>
        <w:jc w:val="both"/>
      </w:pPr>
      <w:r>
        <w:t>разработке систем управления качеством;</w:t>
      </w:r>
    </w:p>
    <w:p w:rsidR="00000000" w:rsidRDefault="00FD7450">
      <w:pPr>
        <w:ind w:left="0" w:firstLine="284"/>
        <w:jc w:val="both"/>
      </w:pPr>
      <w:r>
        <w:t>представлении отчетности и информации о качестве.</w:t>
      </w:r>
    </w:p>
    <w:p w:rsidR="00000000" w:rsidRDefault="00FD7450">
      <w:pPr>
        <w:ind w:left="0" w:firstLine="284"/>
        <w:jc w:val="both"/>
      </w:pPr>
      <w:r>
        <w:t>1.3. Перечни стандартов, входящих в СПКПС, публикуются Государственным комитетом СССР по стандартам в установленном порядке.</w:t>
      </w:r>
    </w:p>
    <w:p w:rsidR="00000000" w:rsidRDefault="00FD7450">
      <w:pPr>
        <w:ind w:left="0" w:firstLine="284"/>
        <w:jc w:val="both"/>
      </w:pPr>
      <w:r>
        <w:lastRenderedPageBreak/>
        <w:t>1.4. СПКПС состоит из стандарта основных положений и стандартов на номенклатуру показателей качества продукции конкретных групп и видов.</w:t>
      </w:r>
    </w:p>
    <w:p w:rsidR="00000000" w:rsidRDefault="00FD7450">
      <w:pPr>
        <w:ind w:left="0" w:firstLine="284"/>
        <w:jc w:val="both"/>
      </w:pPr>
      <w:r>
        <w:t>Распределение стандартов СПКПС по группам продукции приведено в табл. 1.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right"/>
      </w:pPr>
      <w:r>
        <w:t>Таблица 1</w:t>
      </w:r>
    </w:p>
    <w:p w:rsidR="00000000" w:rsidRDefault="00FD7450">
      <w:pPr>
        <w:ind w:left="0"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Группа продукции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Стандарты СПКПС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1. Строительные материалы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 xml:space="preserve">Номенклатура показателей качества нерудных строительных материалов, пористых заполнителей для бетонов, вяжущих, стеновых, теплоизоляционных, акустических, керамических, отделочных, асбестоцементных, полимерных, рулонных кровельных и гидроизоляционных материалов и строительного стекла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2. Строительные конструкции</w:t>
            </w:r>
          </w:p>
        </w:tc>
        <w:tc>
          <w:tcPr>
            <w:tcW w:w="680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Номенклатура показателей качества каменных и армокаменных, бетонных и железобетонных, металлических, асбестоцементных и деревянных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 xml:space="preserve">3. Инженерное оборудование </w:t>
            </w:r>
            <w:r>
              <w:t>зданий и сооружений</w:t>
            </w:r>
          </w:p>
        </w:tc>
        <w:tc>
          <w:tcPr>
            <w:tcW w:w="680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Номенклатура показателей качества санитарно-технического оборудования, лифтов, приборов для окон, дверей, ворот и фонарей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4. Оснастка и инструмент</w:t>
            </w:r>
          </w:p>
        </w:tc>
        <w:tc>
          <w:tcPr>
            <w:tcW w:w="680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Номенклатура показателей качества оснастки и ручного строительного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5. Здания, сооружения и их элементы</w:t>
            </w:r>
          </w:p>
        </w:tc>
        <w:tc>
          <w:tcPr>
            <w:tcW w:w="680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Номенклатура показателей качества отдельных зданий и сооружений массового строительства и их элементов</w:t>
            </w:r>
          </w:p>
        </w:tc>
      </w:tr>
    </w:tbl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  <w:r>
        <w:t>1.5. Стандарты СПКПС должны содержать:</w:t>
      </w:r>
    </w:p>
    <w:p w:rsidR="00000000" w:rsidRDefault="00FD7450">
      <w:pPr>
        <w:ind w:left="0" w:firstLine="284"/>
        <w:jc w:val="both"/>
      </w:pPr>
      <w:r>
        <w:t>номенклатуру показателей качества, необходимых для характеристики потребительских св</w:t>
      </w:r>
      <w:r>
        <w:t>ойств продукции;</w:t>
      </w:r>
    </w:p>
    <w:p w:rsidR="00000000" w:rsidRDefault="00FD7450">
      <w:pPr>
        <w:ind w:left="0" w:firstLine="284"/>
        <w:jc w:val="both"/>
      </w:pPr>
      <w:r>
        <w:t>перечень видов продукции, на которые устанавливается номенклатура показателей качества;</w:t>
      </w:r>
    </w:p>
    <w:p w:rsidR="00000000" w:rsidRDefault="00FD7450">
      <w:pPr>
        <w:ind w:left="0" w:firstLine="284"/>
        <w:jc w:val="both"/>
      </w:pPr>
      <w:r>
        <w:t>указания по определению количественных значений показателей качества;</w:t>
      </w:r>
    </w:p>
    <w:p w:rsidR="00000000" w:rsidRDefault="00FD7450">
      <w:pPr>
        <w:ind w:left="0" w:firstLine="284"/>
        <w:jc w:val="both"/>
      </w:pPr>
      <w:r>
        <w:t>указания по применению показателей качества в зависимости от вида решаемых задач;</w:t>
      </w:r>
    </w:p>
    <w:p w:rsidR="00000000" w:rsidRDefault="00FD7450">
      <w:pPr>
        <w:ind w:left="0" w:firstLine="284"/>
        <w:jc w:val="both"/>
      </w:pPr>
      <w:r>
        <w:t>термины и определения, которые не установлены другими стандартами.</w:t>
      </w:r>
    </w:p>
    <w:p w:rsidR="00000000" w:rsidRDefault="00FD7450">
      <w:pPr>
        <w:ind w:left="0" w:firstLine="284"/>
        <w:jc w:val="both"/>
      </w:pPr>
      <w:r>
        <w:t>1.6. Количественные значения показателей качества промышленной продукции, применяемой в строительстве, определяются методами, приведенными в стандартах и технических условиях на конкретные</w:t>
      </w:r>
      <w:r>
        <w:t xml:space="preserve"> виды продукции и в отраслевых методиках оценки уровня качества продукции, утверждаемых министерствами (ведомствами), являющимися ведущими в производстве данной продукции, а отдельных зданий и сооружений массового строительства, их элементов и требований к качеству строительно-монтажных работ—в соответствующих стандартах, строительных нормах и правилах.</w:t>
      </w:r>
    </w:p>
    <w:p w:rsidR="00000000" w:rsidRDefault="00FD7450">
      <w:pPr>
        <w:ind w:left="0" w:firstLine="284"/>
        <w:jc w:val="both"/>
      </w:pPr>
      <w:r>
        <w:t>Принцип обозначения стандартов СПКПС</w:t>
      </w:r>
    </w:p>
    <w:p w:rsidR="00000000" w:rsidRDefault="00FD7450">
      <w:pPr>
        <w:ind w:left="0" w:firstLine="284"/>
        <w:jc w:val="both"/>
      </w:pPr>
      <w:r>
        <w:object w:dxaOrig="750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75.5pt" o:ole="">
            <v:imagedata r:id="rId4" o:title=""/>
          </v:shape>
          <o:OLEObject Type="Embed" ProgID="PBrush" ShapeID="_x0000_i1025" DrawAspect="Content" ObjectID="_1427204033" r:id="rId5"/>
        </w:object>
      </w: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  <w:r>
        <w:t xml:space="preserve">1.7. Основные термины, применяемые в настоящем стандарте, и их определения приведены в справочном </w:t>
      </w:r>
      <w:r>
        <w:t>приложении.</w:t>
      </w:r>
    </w:p>
    <w:p w:rsidR="00000000" w:rsidRDefault="00FD7450">
      <w:pPr>
        <w:ind w:left="0" w:firstLine="284"/>
        <w:jc w:val="both"/>
      </w:pPr>
      <w:r>
        <w:lastRenderedPageBreak/>
        <w:t>1.8. Государственные стандарты СПКПС входят в Систему показателей качества продукции (класс 4) в виде специальной классификационной группы 2.</w:t>
      </w:r>
    </w:p>
    <w:p w:rsidR="00000000" w:rsidRDefault="00FD7450">
      <w:pPr>
        <w:ind w:left="0" w:firstLine="284"/>
        <w:jc w:val="both"/>
      </w:pPr>
      <w:r>
        <w:t>Номер стандарта составляется из цифры, присвоенной классу стандартов трехзначного числа (после точки), первая цифра которого обозначает классификационную группу стандартов СПКПС, а две последующие определяют порядковый номер стандарта, и двузначного числа (после тире), обозначающего последние две цифры года регистрации стандарта.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  <w:r>
        <w:t>Пример обозначения станда</w:t>
      </w:r>
      <w:r>
        <w:t>рта СПКПС «Основные положения»:</w:t>
      </w:r>
    </w:p>
    <w:p w:rsidR="00000000" w:rsidRDefault="00FD7450">
      <w:pPr>
        <w:ind w:left="0" w:firstLine="284"/>
        <w:jc w:val="both"/>
        <w:rPr>
          <w:i/>
        </w:rPr>
      </w:pPr>
    </w:p>
    <w:p w:rsidR="00000000" w:rsidRDefault="00FD7450">
      <w:pPr>
        <w:ind w:left="0" w:firstLine="284"/>
        <w:jc w:val="center"/>
        <w:rPr>
          <w:i/>
        </w:rPr>
      </w:pPr>
      <w:r>
        <w:rPr>
          <w:i/>
        </w:rPr>
        <w:t>ГОСТ 4.200—78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НОМЕНКЛАТУРА ПОКАЗАТЕЛЕЙ КАЧЕСТВА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p w:rsidR="00000000" w:rsidRDefault="00FD7450">
      <w:pPr>
        <w:ind w:left="0" w:firstLine="284"/>
        <w:jc w:val="both"/>
      </w:pPr>
      <w:r>
        <w:t>2.1. Качество продукции характеризуется совокупностью критериев:</w:t>
      </w:r>
    </w:p>
    <w:p w:rsidR="00000000" w:rsidRDefault="00FD7450">
      <w:pPr>
        <w:ind w:left="0" w:firstLine="284"/>
        <w:jc w:val="both"/>
      </w:pPr>
      <w:r>
        <w:t>технический уровень;</w:t>
      </w:r>
    </w:p>
    <w:p w:rsidR="00000000" w:rsidRDefault="00FD7450">
      <w:pPr>
        <w:ind w:left="0" w:firstLine="284"/>
        <w:jc w:val="both"/>
      </w:pPr>
      <w:r>
        <w:t>стабильность показателей качества;</w:t>
      </w:r>
    </w:p>
    <w:p w:rsidR="00000000" w:rsidRDefault="00FD7450">
      <w:pPr>
        <w:ind w:left="0" w:firstLine="284"/>
        <w:jc w:val="both"/>
      </w:pPr>
      <w:r>
        <w:t>экономическая эффективность;</w:t>
      </w:r>
    </w:p>
    <w:p w:rsidR="00000000" w:rsidRDefault="00FD7450">
      <w:pPr>
        <w:ind w:left="0" w:firstLine="284"/>
        <w:jc w:val="both"/>
      </w:pPr>
      <w:r>
        <w:t>конкурентоспособность на внешнем рынке.</w:t>
      </w:r>
    </w:p>
    <w:p w:rsidR="00000000" w:rsidRDefault="00FD7450">
      <w:pPr>
        <w:ind w:left="0" w:firstLine="284"/>
        <w:jc w:val="both"/>
      </w:pPr>
      <w:r>
        <w:t>2.2. Номенклатура показателей качества продукции по критериям приведена в табл. 2.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b w:val="0"/>
          <w:sz w:val="20"/>
        </w:rPr>
      </w:pPr>
    </w:p>
    <w:p w:rsidR="00000000" w:rsidRDefault="00FD7450">
      <w:pPr>
        <w:pStyle w:val="FR1"/>
        <w:spacing w:before="0" w:line="240" w:lineRule="auto"/>
        <w:ind w:firstLine="284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Таблица 2</w:t>
      </w: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661"/>
        <w:gridCol w:w="42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 xml:space="preserve">Наименование критериев и основных видов показателей качества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Условное обозначение показателей качества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Основные показатели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 Техн</w:t>
            </w:r>
            <w:r>
              <w:t>ический уровень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1.1. Показатели назначения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Н</w:t>
            </w:r>
            <w:r>
              <w:t>з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Прочность, жесткость, трещиностойкость, огнестойкость, сейсмостойкость, морозостойкость, влагостойкость, стойкость к воздействию солнечной радиации, теплоизоляция, звукоизоляция, светопропускание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1.2. Показатели конструктивности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Н</w:t>
            </w:r>
            <w:r>
              <w:t>к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Геометрические размеры, форма, состав, структура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1.3. Показатели надежности (долговечность, сохраняемость)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Н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Вероятность возникновения отказов (в том числе разрушений, потери свойств), стойкость к коррозии, срок службы, время и у</w:t>
            </w:r>
            <w:r>
              <w:t>словия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1.4. Показатели ремонтопригодности (восстанавливаемости)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Р</w:t>
            </w:r>
            <w:r>
              <w:t>п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Продолжительность, трудоемкость и стоимость восстановления при отказах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1.5. Показатели технологичности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Т</w:t>
            </w:r>
            <w:r>
              <w:t>х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Трудоемкость изготовления, материалоемкость, энергоемкость, степень механизации и автоматизации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1.6. Показатели транспортабельности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Т</w:t>
            </w:r>
            <w:r>
              <w:t>р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Масса, габариты, материалоемкость и трудоемкость упаковки, возможность контейнеризации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1.7. Показатели совместимости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С</w:t>
            </w:r>
            <w:r>
              <w:t>с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Взаимная увязка размеров, допусков, видов стыков; согласованность сроко</w:t>
            </w:r>
            <w:r>
              <w:t>в 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1.8. Эргономические показатели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Эр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Температурный режим; уровень токсичности, запыленности, вибрации; удобство пользования продукцией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1.9. Эстетические показатели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Э</w:t>
            </w:r>
            <w:r>
              <w:t>с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Художественная выразительность, внешний вид, качество поверхностей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2. Стабильность показателей качества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2.1. Показатели однородности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С</w:t>
            </w:r>
            <w:r>
              <w:t>о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Отклонение количественных значений свойств продукции от номинальных, коэффициент вариации основных свойств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2.2. Показатели соблюдения стандартов, ТУ, строительных норм и правил, проектов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С</w:t>
            </w:r>
            <w:r>
              <w:t>п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Показа</w:t>
            </w:r>
            <w:r>
              <w:t>тели соблюдения стандартов, ТУ, строительных норм и правил, проектной документации; процент брака, количество рекламаций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3. Экономическая эффективность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3.1. Экономические показатели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Э</w:t>
            </w:r>
            <w:r>
              <w:t>к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Удельные капитальные вложения, себестоимость, рентабельность, годовой экономический эффект, получаемый в народном хозяйстве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4. Конкурентоспособность на внешнем рынке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</w:pPr>
            <w:r>
              <w:t>4.1. Патентно-правовые показатели</w:t>
            </w:r>
          </w:p>
        </w:tc>
        <w:tc>
          <w:tcPr>
            <w:tcW w:w="16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П</w:t>
            </w:r>
            <w:r>
              <w:t>п</w:t>
            </w:r>
          </w:p>
        </w:tc>
        <w:tc>
          <w:tcPr>
            <w:tcW w:w="4293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Показатели патентной защиты и патентной чистоты, наличие экспорта продукции</w:t>
            </w:r>
          </w:p>
        </w:tc>
      </w:tr>
    </w:tbl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  <w:r>
        <w:t>Примечание. Номенклатура показателей к</w:t>
      </w:r>
      <w:r>
        <w:t>ачества может быть изменена (увеличена или сокращена) в государственных стандартах на номенклатуру показателей конкретных групп и видов продукции.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pStyle w:val="FR1"/>
        <w:spacing w:before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ПРИМЕНЯЕМОСТЬ КРИТЕРИЕВ И ПОКАЗАТЕЛЕЙ КАЧЕСТВА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  <w:r>
        <w:t>3.1. Применяемость критериев качества в зависимости от вида решаемых задач приведена в табл. 3.</w:t>
      </w:r>
    </w:p>
    <w:p w:rsidR="00000000" w:rsidRDefault="00FD7450">
      <w:pPr>
        <w:ind w:left="0" w:firstLine="284"/>
        <w:jc w:val="right"/>
      </w:pPr>
      <w:r>
        <w:t>Таблица 3</w:t>
      </w:r>
    </w:p>
    <w:p w:rsidR="00000000" w:rsidRDefault="00FD7450">
      <w:pPr>
        <w:ind w:left="0" w:firstLine="284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0"/>
        <w:gridCol w:w="1246"/>
        <w:gridCol w:w="1276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 xml:space="preserve">Основные виды решаемых </w:t>
            </w:r>
          </w:p>
        </w:tc>
        <w:tc>
          <w:tcPr>
            <w:tcW w:w="5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Наименование критериев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задач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Технический уровень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Стабильность показателей качества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Экономическая эффективность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Конкурентоспособность на внешнем рынке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Разработка стандартов</w:t>
            </w:r>
            <w:r>
              <w:t xml:space="preserve"> и технических условий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 xml:space="preserve">+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 xml:space="preserve">Выбор оптимального варианта новой продукции </w:t>
            </w:r>
          </w:p>
        </w:tc>
        <w:tc>
          <w:tcPr>
            <w:tcW w:w="12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Аттестация продукции</w:t>
            </w:r>
          </w:p>
        </w:tc>
        <w:tc>
          <w:tcPr>
            <w:tcW w:w="12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Прогнозирование и планирование качества продукции</w:t>
            </w:r>
          </w:p>
        </w:tc>
        <w:tc>
          <w:tcPr>
            <w:tcW w:w="12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Разработка систем управления качеством продукции</w:t>
            </w:r>
          </w:p>
        </w:tc>
        <w:tc>
          <w:tcPr>
            <w:tcW w:w="12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Отчетность и информация о качестве продукции</w:t>
            </w:r>
          </w:p>
        </w:tc>
        <w:tc>
          <w:tcPr>
            <w:tcW w:w="12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</w:tr>
    </w:tbl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  <w:r>
        <w:t>Примечание. Знак «+» означает применяемость, знак «—»—неприменяемость, знак «±»—ограниченную применяемость соответствующих критериев качества продукции.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  <w:r>
        <w:t xml:space="preserve">3.2. Показатели качества: назначения, конструктивности, надежности, </w:t>
      </w:r>
      <w:r>
        <w:t>технологичности, экономические; соблюдения стандартов, ТУ, строительных норм и правил, проектов должны применяться для всех видов продукции при решении всех задач.</w:t>
      </w:r>
    </w:p>
    <w:p w:rsidR="00000000" w:rsidRDefault="00FD7450">
      <w:pPr>
        <w:ind w:left="0" w:firstLine="284"/>
        <w:jc w:val="both"/>
      </w:pPr>
      <w:r>
        <w:t>3.3. Применяемость основных видов показателей качества, не указанных в п. 3.2, приведена в табл. 4.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right"/>
      </w:pPr>
      <w:r>
        <w:t>Таблица 4</w:t>
      </w:r>
    </w:p>
    <w:p w:rsidR="00000000" w:rsidRDefault="00FD7450">
      <w:pPr>
        <w:ind w:left="0" w:firstLine="284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0"/>
        <w:gridCol w:w="1026"/>
        <w:gridCol w:w="1417"/>
        <w:gridCol w:w="1276"/>
        <w:gridCol w:w="1058"/>
        <w:gridCol w:w="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Наименование основных видов показателей качества</w:t>
            </w:r>
          </w:p>
        </w:tc>
        <w:tc>
          <w:tcPr>
            <w:tcW w:w="5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Группа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Строительные материалы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Строительные конструкции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Инженерное оборудование зданий и сооружений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Оснастка и инструмент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Здания, сооружения и их элементы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Показатели рем</w:t>
            </w:r>
            <w:r>
              <w:t>онтопригодности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Показатели транспортабельности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rPr>
                <w:i/>
              </w:rPr>
              <w:t>±</w:t>
            </w: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  <w:tc>
          <w:tcPr>
            <w:tcW w:w="926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Показатели совместимости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  <w:tc>
          <w:tcPr>
            <w:tcW w:w="926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Эргономические показатели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926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Эстетические показатели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926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Показатели однородности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+</w:t>
            </w:r>
          </w:p>
        </w:tc>
        <w:tc>
          <w:tcPr>
            <w:tcW w:w="926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Патентно-правовые показатели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105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  <w:tc>
          <w:tcPr>
            <w:tcW w:w="926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center"/>
            </w:pPr>
            <w:r>
              <w:t>±</w:t>
            </w:r>
          </w:p>
        </w:tc>
      </w:tr>
    </w:tbl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  <w:r>
        <w:t>Примечание. Знак «+» означает применяемость, знак «—»—неприменяемость, знак «±»—ограниченную применяемость соответствующих показателей качества продукции.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FD7450">
      <w:pPr>
        <w:ind w:left="0"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FD7450">
      <w:pPr>
        <w:ind w:left="0" w:firstLine="284"/>
        <w:jc w:val="both"/>
      </w:pPr>
    </w:p>
    <w:p w:rsidR="00000000" w:rsidRDefault="00FD7450">
      <w:pPr>
        <w:ind w:left="0" w:firstLine="284"/>
        <w:jc w:val="center"/>
        <w:rPr>
          <w:b/>
        </w:rPr>
      </w:pPr>
      <w:r>
        <w:rPr>
          <w:b/>
        </w:rPr>
        <w:t>ОСНОВНЫЕ ТЕРМИНЫ И ИХ ОПРЕДЕЛЕНИЯ</w:t>
      </w:r>
    </w:p>
    <w:p w:rsidR="00000000" w:rsidRDefault="00FD7450">
      <w:pPr>
        <w:ind w:left="0" w:firstLine="28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0"/>
        <w:gridCol w:w="53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Термин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1. Критерий технического</w:t>
            </w:r>
            <w:r>
              <w:t xml:space="preserve"> уровня</w:t>
            </w:r>
          </w:p>
        </w:tc>
        <w:tc>
          <w:tcPr>
            <w:tcW w:w="532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Совокупность технических показателей качества продукции, характеризующих ее соответствие лучшим отечественным и зарубежным образцам с учетом перспектив развития техники и 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2. Критерий стабильности показателей качества</w:t>
            </w:r>
          </w:p>
        </w:tc>
        <w:tc>
          <w:tcPr>
            <w:tcW w:w="532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Совокупность показателей качества, характеризующих степень соответствия продукции установленным техническим требованиям, устойчивости и налаженности технологического процесса и организации производства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3. Критерий экономической эффективности</w:t>
            </w:r>
          </w:p>
        </w:tc>
        <w:tc>
          <w:tcPr>
            <w:tcW w:w="532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Совокупность показател</w:t>
            </w:r>
            <w:r>
              <w:t>ей качества, характеризующих экономический эффект, получаемый в народном хозяйстве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4. Критерий конкурентоспособности на внешнем рынке</w:t>
            </w:r>
          </w:p>
        </w:tc>
        <w:tc>
          <w:tcPr>
            <w:tcW w:w="532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Совокупность показателей качества, характеризующих степень патентной защиты и патентной чистоты продукции, а также наличие ее экспорта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5. Показатели конструктивности продукции</w:t>
            </w:r>
          </w:p>
        </w:tc>
        <w:tc>
          <w:tcPr>
            <w:tcW w:w="532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Количественные характеристики степени технического совершенства и прогрессивности продукции, определяющие применение изделий в различных видах строительства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6. Показатели однородности продукции</w:t>
            </w:r>
          </w:p>
        </w:tc>
        <w:tc>
          <w:tcPr>
            <w:tcW w:w="532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Колич</w:t>
            </w:r>
            <w:r>
              <w:t>ественная характеристика рассеивания параметров или показателей качества продукции данного вида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7. Показатели соблюдения стандартов, ТУ, строительных норм и правил, проектов</w:t>
            </w:r>
          </w:p>
        </w:tc>
        <w:tc>
          <w:tcPr>
            <w:tcW w:w="532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Количественные характеристики, определяющие соответствие продукции требованиям стандартов, ТУ, строительных норм и правил, проектов при производстве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righ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8. Показатели совместимости продукции</w:t>
            </w:r>
          </w:p>
        </w:tc>
        <w:tc>
          <w:tcPr>
            <w:tcW w:w="5324" w:type="dxa"/>
            <w:tcBorders>
              <w:left w:val="single" w:sz="6" w:space="0" w:color="auto"/>
            </w:tcBorders>
          </w:tcPr>
          <w:p w:rsidR="00000000" w:rsidRDefault="00FD7450">
            <w:pPr>
              <w:ind w:left="0" w:firstLine="0"/>
              <w:jc w:val="both"/>
            </w:pPr>
            <w:r>
              <w:t>Количественные характеристики, определяющие взаимную увязку размеров строительных конструкций и стыков; сопрягаемость элементов зданий и со</w:t>
            </w:r>
            <w:r>
              <w:t>оружений, а также согласованность сроков их службы</w:t>
            </w:r>
          </w:p>
        </w:tc>
      </w:tr>
    </w:tbl>
    <w:p w:rsidR="00000000" w:rsidRDefault="00FD7450">
      <w:pPr>
        <w:ind w:left="0"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450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left="40" w:firstLine="34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60" w:line="260" w:lineRule="auto"/>
      <w:jc w:val="both"/>
      <w:textAlignment w:val="baseline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1727</Words>
  <Characters>9846</Characters>
  <Application>Microsoft Office Word</Application>
  <DocSecurity>0</DocSecurity>
  <Lines>82</Lines>
  <Paragraphs>23</Paragraphs>
  <ScaleCrop>false</ScaleCrop>
  <Company>Elcom Ltd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