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05CB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D105CB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D105CB">
      <w:pPr>
        <w:jc w:val="center"/>
      </w:pPr>
    </w:p>
    <w:p w:rsidR="00000000" w:rsidRDefault="00D105CB">
      <w:pPr>
        <w:jc w:val="center"/>
        <w:rPr>
          <w:b/>
        </w:rPr>
      </w:pPr>
      <w:r>
        <w:rPr>
          <w:b/>
        </w:rPr>
        <w:t>СИСТЕМА ПОКАЗАТЕЛЕЙ КАЧЕСТВА ПРОДУКЦИИ. СТРОИТЕЛЬСТВО</w:t>
      </w:r>
    </w:p>
    <w:p w:rsidR="00000000" w:rsidRDefault="00D105CB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ФОРМЫ ДЛЯ ИЗГОТОВЛЕНИЯ ЖЕЛЕЗОБЕТОННЫХ ИЗДЕЛИЙ</w:t>
      </w:r>
    </w:p>
    <w:p w:rsidR="00000000" w:rsidRDefault="00D105CB">
      <w:pPr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D105CB">
      <w:pPr>
        <w:spacing w:before="120"/>
        <w:jc w:val="center"/>
        <w:rPr>
          <w:b/>
        </w:rPr>
      </w:pPr>
      <w:r>
        <w:rPr>
          <w:b/>
        </w:rPr>
        <w:t>ГОСТ 4.217-81</w:t>
      </w:r>
    </w:p>
    <w:p w:rsidR="00000000" w:rsidRDefault="00D105CB">
      <w:pPr>
        <w:jc w:val="center"/>
      </w:pPr>
    </w:p>
    <w:p w:rsidR="00000000" w:rsidRDefault="00D105CB">
      <w:pPr>
        <w:jc w:val="center"/>
      </w:pPr>
      <w:r>
        <w:t>ГОСУДАРСТВЕННЫЙ СТРОИТЕЛЬНЫЙ КОМИТЕТ СССР</w:t>
      </w:r>
    </w:p>
    <w:p w:rsidR="00000000" w:rsidRDefault="00D105CB">
      <w:pPr>
        <w:jc w:val="center"/>
      </w:pPr>
      <w:r>
        <w:t>Москва</w:t>
      </w:r>
    </w:p>
    <w:p w:rsidR="00000000" w:rsidRDefault="00D105CB">
      <w:pPr>
        <w:jc w:val="center"/>
      </w:pPr>
    </w:p>
    <w:p w:rsidR="00000000" w:rsidRDefault="00D105CB">
      <w:pPr>
        <w:pBdr>
          <w:bottom w:val="single" w:sz="6" w:space="1" w:color="auto"/>
        </w:pBdr>
        <w:jc w:val="center"/>
      </w:pPr>
      <w:r>
        <w:t>ГОСУДАРСТВЕННЫЙ СТАНДАРТ СОЮ</w:t>
      </w:r>
      <w:r>
        <w:t>ЗА ССР</w:t>
      </w:r>
    </w:p>
    <w:p w:rsidR="00000000" w:rsidRDefault="00D105CB">
      <w:pPr>
        <w:ind w:firstLine="284"/>
        <w:jc w:val="both"/>
        <w:rPr>
          <w:b/>
        </w:rPr>
      </w:pPr>
      <w:r>
        <w:rPr>
          <w:b/>
        </w:rPr>
        <w:t>Система показателей качества продукции.</w:t>
      </w:r>
    </w:p>
    <w:p w:rsidR="00000000" w:rsidRDefault="00D105CB">
      <w:pPr>
        <w:ind w:firstLine="1560"/>
        <w:jc w:val="both"/>
        <w:rPr>
          <w:b/>
        </w:rPr>
      </w:pPr>
      <w:r>
        <w:rPr>
          <w:b/>
        </w:rPr>
        <w:t>Строительство</w:t>
      </w:r>
    </w:p>
    <w:p w:rsidR="00000000" w:rsidRDefault="00D105CB">
      <w:pPr>
        <w:tabs>
          <w:tab w:val="left" w:pos="5103"/>
        </w:tabs>
        <w:spacing w:before="120"/>
        <w:ind w:firstLine="567"/>
        <w:jc w:val="both"/>
        <w:rPr>
          <w:b/>
        </w:rPr>
      </w:pPr>
      <w:r>
        <w:rPr>
          <w:b/>
        </w:rPr>
        <w:t xml:space="preserve">ФОРМЫ ДЛЯ ИЗГОТОВЛЕНИЯ </w:t>
      </w:r>
      <w:r>
        <w:rPr>
          <w:b/>
          <w:lang w:val="en-US"/>
        </w:rPr>
        <w:tab/>
      </w:r>
      <w:r>
        <w:rPr>
          <w:b/>
        </w:rPr>
        <w:t xml:space="preserve">  ГОСТ</w:t>
      </w:r>
    </w:p>
    <w:p w:rsidR="00000000" w:rsidRDefault="00D105CB">
      <w:pPr>
        <w:tabs>
          <w:tab w:val="left" w:pos="5103"/>
        </w:tabs>
        <w:ind w:firstLine="567"/>
        <w:jc w:val="both"/>
        <w:rPr>
          <w:b/>
        </w:rPr>
      </w:pPr>
      <w:r>
        <w:rPr>
          <w:b/>
        </w:rPr>
        <w:t>ЖЕЛЕЗОБЕТОННЫХ ИЗДЕЛИЙ</w:t>
      </w:r>
      <w:r>
        <w:rPr>
          <w:b/>
        </w:rPr>
        <w:tab/>
        <w:t>4.217-81</w:t>
      </w:r>
    </w:p>
    <w:p w:rsidR="00000000" w:rsidRDefault="00D105CB">
      <w:pPr>
        <w:spacing w:before="120" w:after="120"/>
        <w:ind w:firstLine="851"/>
        <w:jc w:val="both"/>
        <w:rPr>
          <w:b/>
        </w:rPr>
      </w:pPr>
      <w:r>
        <w:rPr>
          <w:b/>
        </w:rPr>
        <w:t>Номенклатура показателей</w:t>
      </w:r>
    </w:p>
    <w:p w:rsidR="00000000" w:rsidRDefault="00D105CB">
      <w:pPr>
        <w:ind w:firstLine="567"/>
        <w:jc w:val="both"/>
        <w:rPr>
          <w:lang w:val="en-US"/>
        </w:rPr>
      </w:pPr>
      <w:r>
        <w:rPr>
          <w:lang w:val="en-US"/>
        </w:rPr>
        <w:t>Product-quality index system. Building.</w:t>
      </w:r>
    </w:p>
    <w:p w:rsidR="00000000" w:rsidRDefault="00D105CB">
      <w:pPr>
        <w:ind w:firstLine="993"/>
        <w:jc w:val="both"/>
        <w:rPr>
          <w:lang w:val="en-US"/>
        </w:rPr>
      </w:pPr>
      <w:r>
        <w:rPr>
          <w:lang w:val="en-US"/>
        </w:rPr>
        <w:t xml:space="preserve"> Moulds for manufacturing</w:t>
      </w:r>
    </w:p>
    <w:p w:rsidR="00000000" w:rsidRDefault="00D105CB">
      <w:pPr>
        <w:pBdr>
          <w:bottom w:val="single" w:sz="6" w:space="1" w:color="auto"/>
        </w:pBdr>
        <w:ind w:firstLine="993"/>
        <w:jc w:val="both"/>
      </w:pPr>
      <w:r>
        <w:rPr>
          <w:lang w:val="en-US"/>
        </w:rPr>
        <w:t>reinforced concrete articles.</w:t>
      </w:r>
    </w:p>
    <w:p w:rsidR="00000000" w:rsidRDefault="00D105CB">
      <w:pPr>
        <w:pBdr>
          <w:bottom w:val="single" w:sz="6" w:space="1" w:color="auto"/>
        </w:pBdr>
        <w:ind w:firstLine="1276"/>
        <w:jc w:val="both"/>
        <w:rPr>
          <w:lang w:val="en-US"/>
        </w:rPr>
      </w:pPr>
      <w:r>
        <w:rPr>
          <w:lang w:val="en-US"/>
        </w:rPr>
        <w:t>Index nomenclature</w:t>
      </w:r>
    </w:p>
    <w:p w:rsidR="00000000" w:rsidRDefault="00D105CB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16 февраля 1981 г. срок введения установлен</w:t>
      </w:r>
    </w:p>
    <w:p w:rsidR="00000000" w:rsidRDefault="00D105CB">
      <w:pPr>
        <w:jc w:val="right"/>
        <w:rPr>
          <w:b/>
          <w:u w:val="single"/>
          <w:lang w:val="en-US"/>
        </w:rPr>
      </w:pPr>
      <w:r>
        <w:rPr>
          <w:b/>
          <w:u w:val="single"/>
        </w:rPr>
        <w:t>с 01.01.82</w:t>
      </w:r>
    </w:p>
    <w:p w:rsidR="00000000" w:rsidRDefault="00D105CB">
      <w:pPr>
        <w:ind w:firstLine="284"/>
        <w:jc w:val="both"/>
      </w:pPr>
      <w:r>
        <w:t>Настоящий стандарт распространяется на стальные формы для изготовления железобетонных изделий (далее изделий).</w:t>
      </w:r>
    </w:p>
    <w:p w:rsidR="00000000" w:rsidRDefault="00D105CB">
      <w:pPr>
        <w:ind w:firstLine="284"/>
        <w:jc w:val="both"/>
      </w:pPr>
      <w:r>
        <w:t>Стандарт у</w:t>
      </w:r>
      <w:r>
        <w:t>станавливает номенклатуру показателей качества форм, применяемых при:</w:t>
      </w:r>
    </w:p>
    <w:p w:rsidR="00000000" w:rsidRDefault="00D105CB">
      <w:pPr>
        <w:ind w:firstLine="284"/>
        <w:jc w:val="both"/>
      </w:pPr>
      <w:r>
        <w:t>разработке стандартов, технических условий и других нормативных документов по проектированию и изготовлению форм;</w:t>
      </w:r>
    </w:p>
    <w:p w:rsidR="00000000" w:rsidRDefault="00D105CB">
      <w:pPr>
        <w:ind w:firstLine="284"/>
        <w:jc w:val="both"/>
      </w:pPr>
      <w:r>
        <w:t>выборе оптимального варианта новых форм;</w:t>
      </w:r>
    </w:p>
    <w:p w:rsidR="00000000" w:rsidRDefault="00D105CB">
      <w:pPr>
        <w:ind w:firstLine="284"/>
        <w:jc w:val="both"/>
      </w:pPr>
      <w:r>
        <w:t>аттестации, прогнозировании и планировании повышения качества форм;</w:t>
      </w:r>
    </w:p>
    <w:p w:rsidR="00000000" w:rsidRDefault="00D105CB">
      <w:pPr>
        <w:ind w:firstLine="284"/>
        <w:jc w:val="both"/>
      </w:pPr>
      <w:r>
        <w:t>разработке систем управления качеством;</w:t>
      </w:r>
    </w:p>
    <w:p w:rsidR="00000000" w:rsidRDefault="00D105CB">
      <w:pPr>
        <w:ind w:firstLine="284"/>
        <w:jc w:val="both"/>
      </w:pPr>
      <w:r>
        <w:t>составлении отчетности и информации о качестве.</w:t>
      </w:r>
    </w:p>
    <w:p w:rsidR="00000000" w:rsidRDefault="00D105CB">
      <w:pPr>
        <w:ind w:firstLine="284"/>
        <w:jc w:val="both"/>
      </w:pPr>
      <w:r>
        <w:t>Конкретные значения, методы определения и оценки показателей качества форм должны устанавливаться соответствующими стандартами, тех</w:t>
      </w:r>
      <w:r>
        <w:t>ническими условиями, рабочими чертежами, а также методическими указаниями по оценке уровня качества, утвержденными в установленном порядке.</w:t>
      </w:r>
    </w:p>
    <w:p w:rsidR="00000000" w:rsidRDefault="00D105CB">
      <w:pPr>
        <w:ind w:firstLine="284"/>
        <w:jc w:val="both"/>
      </w:pPr>
      <w:r>
        <w:t>Настоящий стандарт разработан на основе и в соответствии с ГОСТ 4.200-78.</w:t>
      </w:r>
    </w:p>
    <w:p w:rsidR="00000000" w:rsidRDefault="00D105CB">
      <w:pPr>
        <w:spacing w:before="120" w:after="120"/>
        <w:ind w:firstLine="284"/>
        <w:jc w:val="center"/>
        <w:rPr>
          <w:b/>
          <w:lang w:val="en-US"/>
        </w:rPr>
      </w:pPr>
      <w:r>
        <w:rPr>
          <w:b/>
        </w:rPr>
        <w:t>1. НОМЕНКЛАТУРА ПОКАЗАТЕЛЕЙ КАЧЕСТВА</w:t>
      </w:r>
    </w:p>
    <w:p w:rsidR="00000000" w:rsidRDefault="00D105CB">
      <w:pPr>
        <w:spacing w:after="120"/>
        <w:ind w:firstLine="284"/>
        <w:jc w:val="both"/>
      </w:pPr>
      <w:r>
        <w:lastRenderedPageBreak/>
        <w:t>1.1. Номенклатура показателей качества по критериям, единицы измерения и условные обозначения показателей качества приведены в таблице.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2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критерия, показателя качества и единицы измерения</w:t>
            </w:r>
          </w:p>
        </w:tc>
        <w:tc>
          <w:tcPr>
            <w:tcW w:w="2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ТЕХНИЧЕСКИЙ УРОВЕ</w:t>
            </w:r>
            <w:r>
              <w:rPr>
                <w:b/>
                <w:sz w:val="16"/>
              </w:rPr>
              <w:t>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</w:t>
            </w:r>
            <w:r>
              <w:rPr>
                <w:spacing w:val="20"/>
                <w:sz w:val="16"/>
              </w:rPr>
              <w:t xml:space="preserve"> Показатели назначения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 Наименование формы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 Наибольшее число одновременно формуемых изделий, шт.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</w:t>
            </w:r>
            <w:r>
              <w:rPr>
                <w:sz w:val="16"/>
                <w:vertAlign w:val="subscript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 Число типоразмеров и марок изделий, изготов</w:t>
            </w:r>
            <w:r>
              <w:rPr>
                <w:sz w:val="16"/>
              </w:rPr>
              <w:softHyphen/>
              <w:t>ля</w:t>
            </w:r>
            <w:r>
              <w:rPr>
                <w:sz w:val="16"/>
              </w:rPr>
              <w:softHyphen/>
              <w:t>е</w:t>
            </w:r>
            <w:r>
              <w:rPr>
                <w:sz w:val="16"/>
              </w:rPr>
              <w:softHyphen/>
              <w:t>мых в форме, шт.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n</w:t>
            </w:r>
            <w:r>
              <w:rPr>
                <w:sz w:val="16"/>
                <w:vertAlign w:val="subscript"/>
              </w:rPr>
              <w:t>т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  <w:lang w:val="en-US"/>
              </w:rPr>
              <w:t>n</w:t>
            </w:r>
            <w:r>
              <w:rPr>
                <w:sz w:val="16"/>
                <w:vertAlign w:val="subscript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Масса формы, кг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Наименование технологии изготовления изделий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1.1.6. Способ перемещения при изготовлении изделий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1.1.7. Способ распалубки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1.1.8. Метод натяжения арматуры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1.1.9. Механизм для уплотнения бетонной смеси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1.1.10. Способ крепления формы к механизму для уплотнения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1.1.11. Метод ускоренного твердения бетона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 </w:t>
            </w:r>
            <w:r>
              <w:rPr>
                <w:spacing w:val="20"/>
                <w:sz w:val="16"/>
              </w:rPr>
              <w:t>Показатели конструктивности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Внутренние основные проектные размеры собран</w:t>
            </w:r>
            <w:r>
              <w:rPr>
                <w:sz w:val="16"/>
              </w:rPr>
              <w:softHyphen/>
              <w:t>ной незагруженной формы (длина, ширина, высота, длина диагонали, диаметр),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l, b, h, </w:t>
            </w:r>
            <w:r>
              <w:rPr>
                <w:i/>
                <w:sz w:val="16"/>
              </w:rPr>
              <w:t xml:space="preserve">Д, </w:t>
            </w:r>
            <w:r>
              <w:rPr>
                <w:i/>
                <w:sz w:val="16"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1.2.2. </w:t>
            </w:r>
            <w:r>
              <w:rPr>
                <w:i/>
                <w:sz w:val="16"/>
              </w:rPr>
              <w:t>Показатели жесткости формы, оцениваемой по параметрам деформативности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1.2.2.1. Прогиб формы в загруженном состоянии (от собственной массы, массы бетона и усилий натяжения арматуры),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1.2.2.2. Сближение упоров от силы натяжения арматуры,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300" w:dyaOrig="260">
                <v:shape id="_x0000_i1026" type="#_x0000_t75" style="width:11.25pt;height:9.75pt" o:ole="">
                  <v:imagedata r:id="rId5" o:title=""/>
                </v:shape>
                <o:OLEObject Type="Embed" ProgID="Equation.3" ShapeID="_x0000_i1026" DrawAspect="Content" ObjectID="_1427204103" r:id="rId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z w:val="16"/>
              </w:rPr>
              <w:t>2.3. Прогиб свободного угла при диагональном опира</w:t>
            </w:r>
            <w:r>
              <w:rPr>
                <w:sz w:val="16"/>
              </w:rPr>
              <w:softHyphen/>
              <w:t>нии (для перемещаемых форм),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8"/>
              </w:rPr>
              <w:t>у</w:t>
            </w:r>
            <w:r>
              <w:rPr>
                <w:sz w:val="16"/>
                <w:vertAlign w:val="subscript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1.2.2.4. Прогиб бортов загруженной формы,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1.2.3. </w:t>
            </w:r>
            <w:r>
              <w:rPr>
                <w:i/>
                <w:sz w:val="16"/>
              </w:rPr>
              <w:t>Показатели геометрической точности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1.2.3.1. Отклонения внутренних размеров форм по длине, ширине, высоте, длине диагонали и диаметру,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79">
                <v:shape id="_x0000_i1027" type="#_x0000_t75" style="width:9.75pt;height:12.75pt" o:ole="">
                  <v:imagedata r:id="rId7" o:title=""/>
                </v:shape>
                <o:OLEObject Type="Embed" ProgID="Equation.2" ShapeID="_x0000_i1027" DrawAspect="Content" ObjectID="_1427204104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1.2.3.2. Отклонения от проектных размеров элементов форм, образующих отверстия и уступы в изделиях,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79">
                <v:shape id="_x0000_i1028" type="#_x0000_t75" style="width:9.75pt;height:12.75pt" o:ole="">
                  <v:imagedata r:id="rId7" o:title=""/>
                </v:shape>
                <o:OLEObject Type="Embed" ProgID="Equation.2" ShapeID="_x0000_i1028" DrawAspect="Content" ObjectID="_1427204105" r:id="rId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1.2.3.3. Отклонение от плоскостности (неплоскостность) рабочей поверхности под</w:t>
            </w:r>
            <w:r>
              <w:rPr>
                <w:sz w:val="16"/>
              </w:rPr>
              <w:t>дона,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40" w:dyaOrig="260">
                <v:shape id="_x0000_i1029" type="#_x0000_t75" style="width:9.75pt;height:10.5pt" o:ole="">
                  <v:imagedata r:id="rId10" o:title=""/>
                </v:shape>
                <o:OLEObject Type="Embed" ProgID="Equation.2" ShapeID="_x0000_i1029" DrawAspect="Content" ObjectID="_1427204106" r:id="rId1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1.2.3.4. Отклонения от проектного положения элементов форм, определяющих положение арматурных выпусков, закладных деталей и монтажных петель,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79">
                <v:shape id="_x0000_i1030" type="#_x0000_t75" style="width:9.75pt;height:12.75pt" o:ole="">
                  <v:imagedata r:id="rId7" o:title=""/>
                </v:shape>
                <o:OLEObject Type="Embed" ProgID="Equation.2" ShapeID="_x0000_i1030" DrawAspect="Content" ObjectID="_1427204107" r:id="rId1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1.2.3.5. Отклонения от размеров между рабочими поверхностями упоров в формах,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79">
                <v:shape id="_x0000_i1031" type="#_x0000_t75" style="width:9.75pt;height:12.75pt" o:ole="">
                  <v:imagedata r:id="rId7" o:title=""/>
                </v:shape>
                <o:OLEObject Type="Embed" ProgID="Equation.2" ShapeID="_x0000_i1031" DrawAspect="Content" ObjectID="_1427204108" r:id="rId1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1.2.3.6. Отклонение от перпендикулярности (неперпенди</w:t>
            </w:r>
            <w:r>
              <w:rPr>
                <w:sz w:val="16"/>
              </w:rPr>
              <w:softHyphen/>
              <w:t>ку</w:t>
            </w:r>
            <w:r>
              <w:rPr>
                <w:sz w:val="16"/>
              </w:rPr>
              <w:softHyphen/>
              <w:t>лярность) внутренних плоскостей бортов к плоскости поддона,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40" w:dyaOrig="260">
                <v:shape id="_x0000_i1032" type="#_x0000_t75" style="width:9.75pt;height:10.5pt" o:ole="">
                  <v:imagedata r:id="rId10" o:title=""/>
                </v:shape>
                <o:OLEObject Type="Embed" ProgID="Equation.2" ShapeID="_x0000_i1032" DrawAspect="Content" ObjectID="_1427204109" r:id="rId1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1.2.3.7. Отклонение от прямолинейности (непрямоли</w:t>
            </w:r>
            <w:r>
              <w:rPr>
                <w:sz w:val="16"/>
              </w:rPr>
              <w:softHyphen/>
              <w:t>нейност</w:t>
            </w:r>
            <w:r>
              <w:rPr>
                <w:sz w:val="16"/>
              </w:rPr>
              <w:t>ь) профиля рабочих плоскостей поддона и бортов,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40" w:dyaOrig="260">
                <v:shape id="_x0000_i1033" type="#_x0000_t75" style="width:9.75pt;height:10.5pt" o:ole="">
                  <v:imagedata r:id="rId10" o:title=""/>
                </v:shape>
                <o:OLEObject Type="Embed" ProgID="Equation.2" ShapeID="_x0000_i1033" DrawAspect="Content" ObjectID="_1427204110" r:id="rId1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1.2.3.8. Непрямоугольность (разность длин диагоналей прямолинейных форм и их прямоугольных элементов),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40" w:dyaOrig="260">
                <v:shape id="_x0000_i1034" type="#_x0000_t75" style="width:9.75pt;height:10.5pt" o:ole="">
                  <v:imagedata r:id="rId10" o:title=""/>
                </v:shape>
                <o:OLEObject Type="Embed" ProgID="Equation.2" ShapeID="_x0000_i1034" DrawAspect="Content" ObjectID="_1427204111" r:id="rId1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1.2.3.9. Отклонение от прямолинейности образующих цилиндрических поверхностей,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40" w:dyaOrig="260">
                <v:shape id="_x0000_i1035" type="#_x0000_t75" style="width:9.75pt;height:10.5pt" o:ole="">
                  <v:imagedata r:id="rId10" o:title=""/>
                </v:shape>
                <o:OLEObject Type="Embed" ProgID="Equation.2" ShapeID="_x0000_i1035" DrawAspect="Content" ObjectID="_1427204112" r:id="rId1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1.2.3.10. Отклонение от овальности цилиндрических элементов форм,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40" w:dyaOrig="260">
                <v:shape id="_x0000_i1036" type="#_x0000_t75" style="width:9.75pt;height:10.5pt" o:ole="">
                  <v:imagedata r:id="rId10" o:title=""/>
                </v:shape>
                <o:OLEObject Type="Embed" ProgID="Equation.2" ShapeID="_x0000_i1036" DrawAspect="Content" ObjectID="_1427204113" r:id="rId1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1.2.3.11. Зазор между примыкающими частями форм и поддоном,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79">
                <v:shape id="_x0000_i1037" type="#_x0000_t75" style="width:9.75pt;height:12.75pt" o:ole="">
                  <v:imagedata r:id="rId7" o:title=""/>
                </v:shape>
                <o:OLEObject Type="Embed" ProgID="Equation.2" ShapeID="_x0000_i1037" DrawAspect="Content" ObjectID="_1427204114" r:id="rId1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1.2.4. Параметры</w:t>
            </w:r>
            <w:r>
              <w:rPr>
                <w:sz w:val="16"/>
              </w:rPr>
              <w:t xml:space="preserve"> шероховатости рабочих поверхностей, мкм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Ra, Rz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1.3. </w:t>
            </w:r>
            <w:r>
              <w:rPr>
                <w:spacing w:val="20"/>
                <w:sz w:val="16"/>
              </w:rPr>
              <w:t>Показатели надежности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1.3.1. Ресурс до первого капитального ремонта, циклов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1.3.2. Ресурс до списания, циклов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1.3.3. Гарантийный срок эксплуатации, мес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1.3.4. Сохраняемость при хранении, мес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1.4. </w:t>
            </w:r>
            <w:r>
              <w:rPr>
                <w:spacing w:val="20"/>
                <w:sz w:val="16"/>
              </w:rPr>
              <w:t>Показатели технологичности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1.4.1. Удельная металлоемкость (масса формы на 1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изделия),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1.4.2. Разборность формы (число отделяемых основных </w:t>
            </w:r>
            <w:r>
              <w:rPr>
                <w:sz w:val="16"/>
              </w:rPr>
              <w:lastRenderedPageBreak/>
              <w:t>элементов), шт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lastRenderedPageBreak/>
              <w:t>n</w:t>
            </w:r>
            <w:r>
              <w:rPr>
                <w:sz w:val="16"/>
                <w:vertAlign w:val="subscript"/>
                <w:lang w:val="en-US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1.4.3. Удельная трудоемкость изготовления, чел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ч/т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1.4.4. Удельная </w:t>
            </w:r>
            <w:r>
              <w:rPr>
                <w:sz w:val="16"/>
              </w:rPr>
              <w:t>трудоемкость сборки, разборки и переналадки формы, чел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ч/т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1.5. </w:t>
            </w:r>
            <w:r>
              <w:rPr>
                <w:spacing w:val="20"/>
                <w:sz w:val="16"/>
              </w:rPr>
              <w:t>Показатели транспортабельности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1.5.1. Габаритные размеры (длина, ширина, высота, диаметр),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L, B, H,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1.5.2. Наименование устройств для захвата и транспортирования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1.5.3. Способ транспортирования от завода-изготовителя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1.5.4. Удельная трудоемкость погрузки и разгрузки, чел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ч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1.6. </w:t>
            </w:r>
            <w:r>
              <w:rPr>
                <w:spacing w:val="20"/>
                <w:sz w:val="16"/>
              </w:rPr>
              <w:t>Эстетические показатели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1.6.1. Товарный вид, балл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1.7. </w:t>
            </w:r>
            <w:r>
              <w:rPr>
                <w:spacing w:val="20"/>
                <w:sz w:val="16"/>
              </w:rPr>
              <w:t>Эргономические показатели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1.7.1. Удобство обслуживания (распалубки, укладки арматуры </w:t>
            </w:r>
            <w:r>
              <w:rPr>
                <w:sz w:val="16"/>
              </w:rPr>
              <w:t>и закладных деталей, чистки), балл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1.8. </w:t>
            </w:r>
            <w:r>
              <w:rPr>
                <w:spacing w:val="20"/>
                <w:sz w:val="16"/>
              </w:rPr>
              <w:t>Показатели стандартизации и унификации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1.8.1. Коэффициент повторяемости,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1.8.2. Коэффициент применяемости,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1.9. </w:t>
            </w:r>
            <w:r>
              <w:rPr>
                <w:spacing w:val="20"/>
                <w:sz w:val="16"/>
              </w:rPr>
              <w:t>Показатели безопасности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1.9.1. Наличие приспособлений, обеспечивающих безо</w:t>
            </w:r>
            <w:r>
              <w:rPr>
                <w:sz w:val="16"/>
              </w:rPr>
              <w:softHyphen/>
              <w:t>пас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ность работ при распалубке, натяжении арматуры, сборке и транспортировании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СТАБИЛЬНОСТЬ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 Количество рекламаций в объеме поставки,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 Показатель сдачи продукции с первого предъявления,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2.3. Показатель соблюдения станда</w:t>
            </w:r>
            <w:r>
              <w:rPr>
                <w:sz w:val="16"/>
              </w:rPr>
              <w:t>ртов и технических условий,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с.т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ЭКОНОМИЧЕСКАЯ ЭФФЕКТИВНОСТЬ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Цена формы, руб.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Себестоимость, руб./ед. продукции (т. шт.)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Рентабельность,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КОНКУРЕНТОСПОСОБНОСТЬ НА ВНЕШНЕМ РЫНКЕ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 Возможность экспортной поставки</w:t>
            </w:r>
          </w:p>
        </w:tc>
        <w:tc>
          <w:tcPr>
            <w:tcW w:w="20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105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00000" w:rsidRDefault="00D105CB">
      <w:pPr>
        <w:spacing w:before="120"/>
        <w:ind w:firstLine="284"/>
        <w:jc w:val="both"/>
      </w:pPr>
      <w:r>
        <w:t>1.2. Для отдельных видов форм при соответствующем обосновании могут применяться дополнительно другие показатели качества.</w:t>
      </w:r>
    </w:p>
    <w:p w:rsidR="00000000" w:rsidRDefault="00D105CB">
      <w:pPr>
        <w:spacing w:before="120" w:after="120"/>
        <w:ind w:firstLine="284"/>
        <w:jc w:val="center"/>
        <w:rPr>
          <w:b/>
        </w:rPr>
      </w:pPr>
      <w:r>
        <w:rPr>
          <w:b/>
        </w:rPr>
        <w:t>2. ПРИМЕНЯЕМОСТЬ КРИТЕРИЕВ КАЧЕСТВА</w:t>
      </w:r>
    </w:p>
    <w:p w:rsidR="00000000" w:rsidRDefault="00D105CB">
      <w:pPr>
        <w:ind w:firstLine="284"/>
        <w:jc w:val="both"/>
      </w:pPr>
      <w:r>
        <w:t>2.1. Применяемость критериев качества форм в зависимости от вида решаемых задач - по ГОСТ 4.200-78.</w:t>
      </w:r>
    </w:p>
    <w:p w:rsidR="00000000" w:rsidRDefault="00D105CB">
      <w:pPr>
        <w:ind w:firstLine="284"/>
        <w:jc w:val="both"/>
      </w:pPr>
      <w:r>
        <w:t>2</w:t>
      </w:r>
      <w:r>
        <w:t>.2. Номенклатура показателей качества устанавливается в зависимости от назначения конкретных видов форм.</w:t>
      </w: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5CB"/>
    <w:rsid w:val="00D1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embeddings/oleObject6.bin" Type="http://schemas.openxmlformats.org/officeDocument/2006/relationships/oleObject"/><Relationship Id="rId18" Target="embeddings/oleObject11.bin" Type="http://schemas.openxmlformats.org/officeDocument/2006/relationships/oleObject"/><Relationship Id="rId3" Target="webSettings.xml" Type="http://schemas.openxmlformats.org/officeDocument/2006/relationships/webSettings"/><Relationship Id="rId21" Target="theme/theme1.xml" Type="http://schemas.openxmlformats.org/officeDocument/2006/relationships/theme"/><Relationship Id="rId7" Target="media/image3.wmf" Type="http://schemas.openxmlformats.org/officeDocument/2006/relationships/image"/><Relationship Id="rId12" Target="embeddings/oleObject5.bin" Type="http://schemas.openxmlformats.org/officeDocument/2006/relationships/oleObject"/><Relationship Id="rId17" Target="embeddings/oleObject10.bin" Type="http://schemas.openxmlformats.org/officeDocument/2006/relationships/oleObject"/><Relationship Id="rId2" Target="settings.xml" Type="http://schemas.openxmlformats.org/officeDocument/2006/relationships/settings"/><Relationship Id="rId16" Target="embeddings/oleObject9.bin" Type="http://schemas.openxmlformats.org/officeDocument/2006/relationships/oleObject"/><Relationship Id="rId20" Target="fontTable.xml" Type="http://schemas.openxmlformats.org/officeDocument/2006/relationships/fontTabl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embeddings/oleObject4.bin" Type="http://schemas.openxmlformats.org/officeDocument/2006/relationships/oleObject"/><Relationship Id="rId5" Target="media/image2.wmf" Type="http://schemas.openxmlformats.org/officeDocument/2006/relationships/image"/><Relationship Id="rId15" Target="embeddings/oleObject8.bin" Type="http://schemas.openxmlformats.org/officeDocument/2006/relationships/oleObject"/><Relationship Id="rId10" Target="media/image4.wmf" Type="http://schemas.openxmlformats.org/officeDocument/2006/relationships/image"/><Relationship Id="rId19" Target="embeddings/oleObject12.bin" Type="http://schemas.openxmlformats.org/officeDocument/2006/relationships/oleObject"/><Relationship Id="rId4" Target="media/image1.jpeg" Type="http://schemas.openxmlformats.org/officeDocument/2006/relationships/image"/><Relationship Id="rId9" Target="embeddings/oleObject3.bin" Type="http://schemas.openxmlformats.org/officeDocument/2006/relationships/oleObject"/><Relationship Id="rId14" Target="embeddings/oleObject7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5535</Characters>
  <Application>Microsoft Office Word</Application>
  <DocSecurity>0</DocSecurity>
  <Lines>46</Lines>
  <Paragraphs>12</Paragraphs>
  <ScaleCrop>false</ScaleCrop>
  <Company>СНИиП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4.217-81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38955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