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</w:p>
          <w:p w:rsidR="00000000" w:rsidRDefault="00C47600">
            <w:pPr>
              <w:ind w:left="0" w:firstLine="0"/>
              <w:jc w:val="center"/>
              <w:rPr>
                <w:b/>
              </w:rPr>
            </w:pPr>
          </w:p>
          <w:p w:rsidR="00000000" w:rsidRDefault="00C4760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Всесоюзный </w:t>
            </w:r>
          </w:p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Комитет Стандартов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  <w:rPr>
                <w:b/>
              </w:rPr>
            </w:pPr>
          </w:p>
          <w:p w:rsidR="00000000" w:rsidRDefault="00C4760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ГОСУДАРСТВЕННЫЙ </w:t>
            </w:r>
          </w:p>
          <w:p w:rsidR="00000000" w:rsidRDefault="00C4760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ОБЩЕСОЮЗНЫЙ СТАНДАРТ</w:t>
            </w:r>
          </w:p>
          <w:p w:rsidR="00000000" w:rsidRDefault="00C47600">
            <w:pPr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  <w:rPr>
                <w:b/>
              </w:rPr>
            </w:pPr>
          </w:p>
          <w:p w:rsidR="00000000" w:rsidRDefault="00C47600">
            <w:pPr>
              <w:ind w:left="0" w:firstLine="0"/>
              <w:jc w:val="center"/>
              <w:rPr>
                <w:b/>
              </w:rPr>
            </w:pPr>
          </w:p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ГОСТ 4609—49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при Совете Министров СССР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Оборудование сливо-наливное для горючих </w:t>
            </w:r>
          </w:p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и легковоспламеняющихся жидкостей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</w:p>
        </w:tc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СТОЯК СЛИВО-НАЛИВНОЙ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ОДИНОЧНЫЙ С РУЧНЫМ НАСОСОМ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Группа Ж58</w:t>
            </w:r>
          </w:p>
        </w:tc>
      </w:tr>
    </w:tbl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>Настоящий стандарт распространяется на одиночные сливо-наливные стояки, служащие для ручного, механизированного или самотечного слива горючих и легковоспламеняющихся жидкостей из вагонов-цистерн с помощью ручного насоса, а также для налива в вагоны-цистерны перекачивающими средствами базы или склада горючего.</w:t>
      </w:r>
    </w:p>
    <w:p w:rsidR="00000000" w:rsidRDefault="00C47600">
      <w:pPr>
        <w:ind w:left="0" w:firstLine="284"/>
        <w:jc w:val="both"/>
      </w:pPr>
      <w:r>
        <w:t>Настоящий стандарт устанавливает внешние строительные и монтажные размеры стояков.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 xml:space="preserve">Примечание. На складах горючих и легковоспламеняющихся жидкостей с емкостью хранения продукта до 300 </w:t>
      </w:r>
      <w:r>
        <w:rPr>
          <w:i/>
          <w:sz w:val="18"/>
        </w:rPr>
        <w:t>т,</w:t>
      </w:r>
      <w:r>
        <w:rPr>
          <w:sz w:val="18"/>
        </w:rPr>
        <w:t xml:space="preserve"> а также на </w:t>
      </w:r>
      <w:r>
        <w:rPr>
          <w:sz w:val="18"/>
        </w:rPr>
        <w:t>складах Министерства обороны СССР допускается применение сливо-наливных стояков других типов.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center"/>
        <w:rPr>
          <w:b/>
          <w:sz w:val="22"/>
        </w:rPr>
      </w:pPr>
      <w:proofErr w:type="spellStart"/>
      <w:r>
        <w:rPr>
          <w:b/>
          <w:sz w:val="22"/>
        </w:rPr>
        <w:t>I</w:t>
      </w:r>
      <w:proofErr w:type="spellEnd"/>
      <w:r>
        <w:rPr>
          <w:b/>
          <w:sz w:val="22"/>
        </w:rPr>
        <w:t>. Технические условия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 xml:space="preserve">1. В зависимости от величины условного прохода </w:t>
      </w:r>
      <w:proofErr w:type="spellStart"/>
      <w:r>
        <w:rPr>
          <w:i/>
          <w:lang w:val="en-US"/>
        </w:rPr>
        <w:t>D</w:t>
      </w:r>
      <w:r>
        <w:rPr>
          <w:vertAlign w:val="subscript"/>
        </w:rPr>
        <w:t>у</w:t>
      </w:r>
      <w:proofErr w:type="spellEnd"/>
      <w:r>
        <w:t xml:space="preserve"> различают следующие марки стояков: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center"/>
      </w:pPr>
      <w:r>
        <w:t>при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D</w:t>
      </w:r>
      <w:r>
        <w:rPr>
          <w:vertAlign w:val="subscript"/>
          <w:lang w:val="en-US"/>
        </w:rPr>
        <w:t>y</w:t>
      </w:r>
      <w:proofErr w:type="spellEnd"/>
      <w:r>
        <w:t xml:space="preserve">  80 — марка   С80,</w:t>
      </w:r>
    </w:p>
    <w:p w:rsidR="00000000" w:rsidRDefault="00C47600">
      <w:pPr>
        <w:ind w:left="0" w:firstLine="284"/>
        <w:jc w:val="center"/>
      </w:pPr>
      <w:r>
        <w:t xml:space="preserve">  "   </w:t>
      </w:r>
      <w:proofErr w:type="spellStart"/>
      <w:r>
        <w:rPr>
          <w:i/>
        </w:rPr>
        <w:t>D</w:t>
      </w:r>
      <w:r>
        <w:rPr>
          <w:vertAlign w:val="subscript"/>
        </w:rPr>
        <w:t>y</w:t>
      </w:r>
      <w:proofErr w:type="spellEnd"/>
      <w:r>
        <w:t xml:space="preserve"> 100         "     С100.</w:t>
      </w:r>
    </w:p>
    <w:p w:rsidR="00000000" w:rsidRDefault="00C47600">
      <w:pPr>
        <w:ind w:left="0" w:firstLine="284"/>
        <w:jc w:val="center"/>
      </w:pPr>
    </w:p>
    <w:p w:rsidR="00000000" w:rsidRDefault="00C47600">
      <w:pPr>
        <w:ind w:left="0" w:firstLine="284"/>
        <w:jc w:val="both"/>
      </w:pPr>
      <w:r>
        <w:t>2. При выборе диаметра стояков рекомендуется руководствоваться следующими основными соображениями: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 xml:space="preserve">а) Стояки с условным проходом </w:t>
      </w:r>
      <w:proofErr w:type="spellStart"/>
      <w:r>
        <w:rPr>
          <w:i/>
        </w:rPr>
        <w:t>D</w:t>
      </w:r>
      <w:r>
        <w:rPr>
          <w:vertAlign w:val="subscript"/>
        </w:rPr>
        <w:t>y</w:t>
      </w:r>
      <w:proofErr w:type="spellEnd"/>
      <w:r>
        <w:t xml:space="preserve"> 80 рекомендуется применять при отсутствии обеспеченного самотечного слива, когда слив от начала до конца производ</w:t>
      </w:r>
      <w:r>
        <w:t xml:space="preserve">ится ручным насосом или когда ручной насос служит только для зарядки сифона, а дальнейшая откачка производится центробежным насосом с низкой всасывающей способностью (2—3 </w:t>
      </w:r>
      <w:r>
        <w:rPr>
          <w:i/>
        </w:rPr>
        <w:t>м).</w:t>
      </w:r>
    </w:p>
    <w:p w:rsidR="00000000" w:rsidRDefault="00C47600">
      <w:pPr>
        <w:ind w:left="0" w:firstLine="284"/>
        <w:jc w:val="both"/>
      </w:pPr>
      <w:r>
        <w:t xml:space="preserve">б) Стояки с условным проходом </w:t>
      </w:r>
      <w:proofErr w:type="spellStart"/>
      <w:r>
        <w:rPr>
          <w:i/>
        </w:rPr>
        <w:t>D</w:t>
      </w:r>
      <w:r>
        <w:rPr>
          <w:vertAlign w:val="subscript"/>
        </w:rPr>
        <w:t>y</w:t>
      </w:r>
      <w:proofErr w:type="spellEnd"/>
      <w:r>
        <w:t xml:space="preserve"> 100 рекомендуется ставить во всех остальных случаях, когда слив надежно обеспечивается самотеком или производится при помощи поршневых насосов или иных, гарантирующих надежное всасывание.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>3. Конструкция и размеры стояка должны соответствовать чертежу настоящего стандарта.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C47600">
            <w:pPr>
              <w:ind w:left="0" w:firstLine="0"/>
              <w:jc w:val="center"/>
              <w:rPr>
                <w:b/>
              </w:rPr>
            </w:pPr>
          </w:p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 xml:space="preserve">Внесен </w:t>
            </w:r>
            <w:proofErr w:type="spellStart"/>
            <w:r>
              <w:rPr>
                <w:b/>
              </w:rPr>
              <w:t>Главнефтес</w:t>
            </w:r>
            <w:r>
              <w:rPr>
                <w:b/>
              </w:rPr>
              <w:t>набом</w:t>
            </w:r>
            <w:proofErr w:type="spellEnd"/>
            <w:r>
              <w:rPr>
                <w:b/>
              </w:rPr>
              <w:t xml:space="preserve"> при Госснабе СССР</w:t>
            </w:r>
          </w:p>
          <w:p w:rsidR="00000000" w:rsidRDefault="00C47600">
            <w:pPr>
              <w:ind w:left="0" w:firstLine="0"/>
              <w:jc w:val="center"/>
            </w:pPr>
          </w:p>
        </w:tc>
        <w:tc>
          <w:tcPr>
            <w:tcW w:w="4111" w:type="dxa"/>
          </w:tcPr>
          <w:p w:rsidR="00000000" w:rsidRDefault="00C47600">
            <w:pPr>
              <w:ind w:left="0" w:firstLine="0"/>
              <w:jc w:val="center"/>
              <w:rPr>
                <w:b/>
              </w:rPr>
            </w:pPr>
          </w:p>
          <w:p w:rsidR="00000000" w:rsidRDefault="00C47600">
            <w:pPr>
              <w:ind w:left="0" w:firstLine="0"/>
              <w:jc w:val="center"/>
            </w:pPr>
            <w:r>
              <w:rPr>
                <w:b/>
              </w:rPr>
              <w:t>Утвержден Всесоюзным Комитетом Стандартов 12/1 1949 г.</w:t>
            </w:r>
          </w:p>
          <w:p w:rsidR="00000000" w:rsidRDefault="00C47600">
            <w:pPr>
              <w:ind w:left="0" w:firstLine="0"/>
              <w:jc w:val="center"/>
            </w:pPr>
          </w:p>
        </w:tc>
        <w:tc>
          <w:tcPr>
            <w:tcW w:w="1843" w:type="dxa"/>
          </w:tcPr>
          <w:p w:rsidR="00000000" w:rsidRDefault="00C47600">
            <w:pPr>
              <w:ind w:left="0" w:firstLine="0"/>
              <w:jc w:val="center"/>
              <w:rPr>
                <w:b/>
              </w:rPr>
            </w:pPr>
          </w:p>
          <w:p w:rsidR="00000000" w:rsidRDefault="00C4760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Срок введения</w:t>
            </w:r>
            <w:r>
              <w:rPr>
                <w:b/>
                <w:lang w:val="en-US"/>
              </w:rPr>
              <w:t xml:space="preserve"> </w:t>
            </w:r>
          </w:p>
          <w:p w:rsidR="00000000" w:rsidRDefault="00C47600">
            <w:pPr>
              <w:ind w:left="0" w:firstLine="0"/>
              <w:jc w:val="center"/>
            </w:pPr>
            <w:r>
              <w:rPr>
                <w:b/>
                <w:lang w:val="en-US"/>
              </w:rPr>
              <w:t>1/V</w:t>
            </w:r>
            <w:r>
              <w:rPr>
                <w:b/>
              </w:rPr>
              <w:t xml:space="preserve"> 1949 г.</w:t>
            </w:r>
          </w:p>
          <w:p w:rsidR="00000000" w:rsidRDefault="00C47600">
            <w:pPr>
              <w:ind w:left="0" w:firstLine="0"/>
              <w:jc w:val="center"/>
            </w:pPr>
          </w:p>
        </w:tc>
      </w:tr>
    </w:tbl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0"/>
        <w:jc w:val="both"/>
      </w:pPr>
      <w:r>
        <w:object w:dxaOrig="7324" w:dyaOrig="11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660.75pt" o:ole="">
            <v:imagedata r:id="rId4" o:title=""/>
          </v:shape>
          <o:OLEObject Type="Embed" ProgID="MSPhotoEd.3" ShapeID="_x0000_i1025" DrawAspect="Content" ObjectID="_1427203514" r:id="rId5"/>
        </w:object>
      </w:r>
    </w:p>
    <w:p w:rsidR="00000000" w:rsidRDefault="00C47600">
      <w:pPr>
        <w:ind w:left="0" w:firstLine="0"/>
        <w:jc w:val="both"/>
      </w:pPr>
    </w:p>
    <w:p w:rsidR="00000000" w:rsidRDefault="00C47600">
      <w:pPr>
        <w:ind w:left="0" w:firstLine="0"/>
        <w:jc w:val="both"/>
      </w:pPr>
    </w:p>
    <w:p w:rsidR="00000000" w:rsidRDefault="00C47600">
      <w:pPr>
        <w:ind w:left="0" w:firstLine="0"/>
        <w:jc w:val="center"/>
        <w:rPr>
          <w:i/>
        </w:rPr>
      </w:pPr>
      <w:r>
        <w:rPr>
          <w:i/>
        </w:rPr>
        <w:lastRenderedPageBreak/>
        <w:t>мм</w:t>
      </w:r>
    </w:p>
    <w:p w:rsidR="00000000" w:rsidRDefault="00C47600">
      <w:pPr>
        <w:ind w:left="0" w:firstLine="0"/>
        <w:jc w:val="center"/>
        <w:rPr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42"/>
        <w:gridCol w:w="1793"/>
        <w:gridCol w:w="1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Марка стояков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rPr>
                <w:i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С80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89х4-5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80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С100</w:t>
            </w: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108х4-5</w:t>
            </w: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100</w:t>
            </w:r>
          </w:p>
        </w:tc>
        <w:tc>
          <w:tcPr>
            <w:tcW w:w="1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7600">
            <w:pPr>
              <w:ind w:left="0" w:firstLine="0"/>
              <w:jc w:val="center"/>
            </w:pPr>
            <w:r>
              <w:t>160</w:t>
            </w:r>
          </w:p>
        </w:tc>
      </w:tr>
    </w:tbl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 xml:space="preserve">1. На складах горючих или легковоспламеняющихся жидкостей с незначительным прибытием железнодорожных цистерн под слив или налив (склады при </w:t>
      </w:r>
      <w:proofErr w:type="spellStart"/>
      <w:r>
        <w:rPr>
          <w:sz w:val="18"/>
        </w:rPr>
        <w:t>промпредприятиях</w:t>
      </w:r>
      <w:proofErr w:type="spellEnd"/>
      <w:r>
        <w:rPr>
          <w:sz w:val="18"/>
        </w:rPr>
        <w:t xml:space="preserve">, военного ведомства, </w:t>
      </w:r>
      <w:proofErr w:type="spellStart"/>
      <w:r>
        <w:rPr>
          <w:sz w:val="18"/>
        </w:rPr>
        <w:t>МТС</w:t>
      </w:r>
      <w:proofErr w:type="spellEnd"/>
      <w:r>
        <w:rPr>
          <w:sz w:val="18"/>
        </w:rPr>
        <w:t xml:space="preserve"> и т. п.) устройство </w:t>
      </w:r>
      <w:proofErr w:type="spellStart"/>
      <w:r>
        <w:rPr>
          <w:sz w:val="18"/>
        </w:rPr>
        <w:t>зачистного</w:t>
      </w:r>
      <w:proofErr w:type="spellEnd"/>
      <w:r>
        <w:rPr>
          <w:sz w:val="18"/>
        </w:rPr>
        <w:t xml:space="preserve"> шланга не обязательно (устройство подкоса, приваренного к стояку </w:t>
      </w:r>
      <w:proofErr w:type="spellStart"/>
      <w:r>
        <w:rPr>
          <w:i/>
          <w:sz w:val="18"/>
        </w:rPr>
        <w:t>D</w:t>
      </w:r>
      <w:proofErr w:type="spellEnd"/>
      <w:r>
        <w:rPr>
          <w:sz w:val="18"/>
        </w:rPr>
        <w:t xml:space="preserve"> косынками, о</w:t>
      </w:r>
      <w:r>
        <w:rPr>
          <w:sz w:val="18"/>
        </w:rPr>
        <w:t>бязательно во всех случаях).</w:t>
      </w: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>2. Заземление стояка осуществляется по проекту.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>4. Допускаемые отклонения в размерах устанавливаются следующие:</w:t>
      </w:r>
    </w:p>
    <w:p w:rsidR="00000000" w:rsidRDefault="00C47600">
      <w:pPr>
        <w:ind w:left="0" w:firstLine="284"/>
        <w:jc w:val="both"/>
      </w:pPr>
      <w:r>
        <w:t xml:space="preserve">а) по высоте стояка ........................... ± 50 </w:t>
      </w:r>
      <w:r>
        <w:rPr>
          <w:i/>
        </w:rPr>
        <w:t>мм</w:t>
      </w:r>
    </w:p>
    <w:p w:rsidR="00000000" w:rsidRDefault="00C47600">
      <w:pPr>
        <w:ind w:left="0" w:firstLine="284"/>
        <w:jc w:val="both"/>
      </w:pPr>
      <w:r>
        <w:t xml:space="preserve">б)  " вылету стояка ............................ + 20  " </w:t>
      </w:r>
    </w:p>
    <w:p w:rsidR="00000000" w:rsidRDefault="00C47600">
      <w:pPr>
        <w:ind w:left="0" w:firstLine="284"/>
        <w:jc w:val="both"/>
      </w:pPr>
      <w:r>
        <w:t xml:space="preserve">в)  " размеру </w:t>
      </w:r>
      <w:r>
        <w:rPr>
          <w:i/>
        </w:rPr>
        <w:t>А ..........................</w:t>
      </w:r>
      <w:r>
        <w:t xml:space="preserve">........ ±   2  " </w:t>
      </w:r>
    </w:p>
    <w:p w:rsidR="00000000" w:rsidRDefault="00C47600">
      <w:pPr>
        <w:ind w:left="0" w:firstLine="284"/>
        <w:jc w:val="both"/>
      </w:pPr>
      <w:r>
        <w:t xml:space="preserve">г)  " всем остальным размерам ........ ± 10  " </w:t>
      </w:r>
    </w:p>
    <w:p w:rsidR="00000000" w:rsidRDefault="00C47600">
      <w:pPr>
        <w:ind w:left="0" w:firstLine="284"/>
        <w:jc w:val="both"/>
      </w:pPr>
      <w:r>
        <w:t>5. Для изготовления стояка должны применяться следующие материалы и изделия:</w:t>
      </w:r>
    </w:p>
    <w:p w:rsidR="00000000" w:rsidRDefault="00C47600">
      <w:pPr>
        <w:ind w:left="0" w:firstLine="284"/>
        <w:jc w:val="both"/>
      </w:pPr>
      <w:r>
        <w:t>а) для изготовления собственно стояка, обвязки насоса и гнутых отводов</w:t>
      </w:r>
      <w:r>
        <w:t>—трубы стальные бесшовные по ГОСТ 301—50.</w:t>
      </w:r>
    </w:p>
    <w:p w:rsidR="00000000" w:rsidRDefault="00C47600">
      <w:pPr>
        <w:ind w:left="0" w:firstLine="284"/>
        <w:jc w:val="both"/>
      </w:pPr>
      <w:r>
        <w:t>б) для изготовления опорных стоек стояка и насоса — сталь прокатная (швеллер № 16) по ОСТ 10017—39 (любой марки);</w:t>
      </w:r>
    </w:p>
    <w:p w:rsidR="00000000" w:rsidRDefault="00C47600">
      <w:pPr>
        <w:ind w:left="0" w:firstLine="284"/>
        <w:jc w:val="both"/>
      </w:pPr>
      <w:r>
        <w:t>в) для изготовления опор насоса — сталь прокатная (любой марки) по ОСТ 10015-39;</w:t>
      </w:r>
    </w:p>
    <w:p w:rsidR="00000000" w:rsidRDefault="00C47600">
      <w:pPr>
        <w:ind w:left="0" w:firstLine="284"/>
        <w:jc w:val="both"/>
      </w:pPr>
      <w:r>
        <w:t>г) для изготовления хомутов, накладок, косынок, подкладок и заглушки — сталь толстолистовая (любой марки) по ГОСТ 5681—51;</w:t>
      </w:r>
    </w:p>
    <w:p w:rsidR="00000000" w:rsidRDefault="00C47600">
      <w:pPr>
        <w:ind w:left="0" w:firstLine="284"/>
        <w:jc w:val="both"/>
      </w:pPr>
      <w:proofErr w:type="spellStart"/>
      <w:r>
        <w:t>д</w:t>
      </w:r>
      <w:proofErr w:type="spellEnd"/>
      <w:r>
        <w:t>) для изготовления ограничителя, стопора ограничителя, рукоятки для поворота стояка — сталь круглая (любой марки) по ГОСТ 2590—51;</w:t>
      </w:r>
    </w:p>
    <w:p w:rsidR="00000000" w:rsidRDefault="00C47600">
      <w:pPr>
        <w:ind w:left="0" w:firstLine="284"/>
        <w:jc w:val="both"/>
      </w:pPr>
      <w:proofErr w:type="spellStart"/>
      <w:r>
        <w:t>е</w:t>
      </w:r>
      <w:proofErr w:type="spellEnd"/>
      <w:r>
        <w:t xml:space="preserve">) для изготовления </w:t>
      </w:r>
      <w:r>
        <w:t>гибких шлангов — резиновые рукава по ГОСТ 1332—41;</w:t>
      </w:r>
    </w:p>
    <w:p w:rsidR="00000000" w:rsidRDefault="00C47600">
      <w:pPr>
        <w:ind w:left="0" w:firstLine="284"/>
        <w:jc w:val="both"/>
      </w:pPr>
      <w:r>
        <w:t>ж) устройство для соединения гибких шлангов с трубами (изготовляется по отдельным рабочим чертежам);</w:t>
      </w:r>
    </w:p>
    <w:p w:rsidR="00000000" w:rsidRDefault="00C47600">
      <w:pPr>
        <w:ind w:left="0" w:firstLine="284"/>
        <w:jc w:val="both"/>
      </w:pPr>
      <w:proofErr w:type="spellStart"/>
      <w:r>
        <w:t>з</w:t>
      </w:r>
      <w:proofErr w:type="spellEnd"/>
      <w:r>
        <w:t>) поворотный сальник—по ГОСТ 4612—49;</w:t>
      </w:r>
    </w:p>
    <w:p w:rsidR="00000000" w:rsidRDefault="00C47600">
      <w:pPr>
        <w:ind w:left="0" w:firstLine="284"/>
        <w:jc w:val="both"/>
      </w:pPr>
      <w:r>
        <w:t>и) наконечники к шлангам—по ГОСТ 4613—49;</w:t>
      </w:r>
    </w:p>
    <w:p w:rsidR="00000000" w:rsidRDefault="00C47600">
      <w:pPr>
        <w:ind w:left="0" w:firstLine="284"/>
        <w:jc w:val="both"/>
      </w:pPr>
      <w:r>
        <w:t>к) задвижки чугунные на давление 2,5—6,0</w:t>
      </w:r>
      <w:r>
        <w:rPr>
          <w:lang w:val="en-US"/>
        </w:rPr>
        <w:t xml:space="preserve"> </w:t>
      </w:r>
      <w:r>
        <w:rPr>
          <w:i/>
        </w:rPr>
        <w:t>кг/см</w:t>
      </w:r>
      <w:r>
        <w:rPr>
          <w:i/>
          <w:vertAlign w:val="superscript"/>
          <w:lang w:val="en-US"/>
        </w:rPr>
        <w:t>2</w:t>
      </w:r>
      <w:r>
        <w:rPr>
          <w:i/>
          <w:vertAlign w:val="superscript"/>
        </w:rPr>
        <w:t xml:space="preserve"> </w:t>
      </w:r>
      <w:r>
        <w:rPr>
          <w:i/>
        </w:rPr>
        <w:t xml:space="preserve">— </w:t>
      </w:r>
      <w:r>
        <w:t>по ГОСТ 3706—54;</w:t>
      </w:r>
    </w:p>
    <w:p w:rsidR="00000000" w:rsidRDefault="00C47600">
      <w:pPr>
        <w:ind w:left="0" w:firstLine="284"/>
        <w:jc w:val="both"/>
      </w:pPr>
      <w:r>
        <w:t>л) вентиль—по ГОСТ 6681—53;</w:t>
      </w:r>
    </w:p>
    <w:p w:rsidR="00000000" w:rsidRDefault="00C47600">
      <w:pPr>
        <w:ind w:left="0" w:firstLine="284"/>
        <w:jc w:val="both"/>
      </w:pPr>
      <w:r>
        <w:t>м) фланцы стальные—по ГОСТ 1255—54;</w:t>
      </w:r>
    </w:p>
    <w:p w:rsidR="00000000" w:rsidRDefault="00C47600">
      <w:pPr>
        <w:ind w:left="0" w:firstLine="284"/>
        <w:jc w:val="both"/>
      </w:pPr>
      <w:r>
        <w:t xml:space="preserve">н) болты—по ОСТ 20035-38 (тип </w:t>
      </w:r>
      <w:proofErr w:type="spellStart"/>
      <w:r>
        <w:t>I</w:t>
      </w:r>
      <w:proofErr w:type="spellEnd"/>
      <w:r>
        <w:t>);</w:t>
      </w:r>
    </w:p>
    <w:p w:rsidR="00000000" w:rsidRDefault="00C47600">
      <w:pPr>
        <w:ind w:left="0" w:firstLine="284"/>
        <w:jc w:val="both"/>
      </w:pPr>
      <w:r>
        <w:t>о) гайки—по ГОСТ 5909—51, ГОСТ 5910—51, ГОСТ 5911-51;</w:t>
      </w:r>
    </w:p>
    <w:p w:rsidR="00000000" w:rsidRDefault="00C47600">
      <w:pPr>
        <w:ind w:left="0" w:firstLine="284"/>
        <w:jc w:val="both"/>
      </w:pPr>
      <w:proofErr w:type="spellStart"/>
      <w:r>
        <w:t>п</w:t>
      </w:r>
      <w:proofErr w:type="spellEnd"/>
      <w:r>
        <w:t>) шайбы—по ГОСТ 6957—54;</w:t>
      </w:r>
    </w:p>
    <w:p w:rsidR="00000000" w:rsidRDefault="00C47600">
      <w:pPr>
        <w:ind w:left="0" w:firstLine="284"/>
        <w:jc w:val="both"/>
      </w:pPr>
      <w:proofErr w:type="spellStart"/>
      <w:r>
        <w:t>р</w:t>
      </w:r>
      <w:proofErr w:type="spellEnd"/>
      <w:r>
        <w:t>) шплинты—по ГОСТ 397—54;</w:t>
      </w:r>
    </w:p>
    <w:p w:rsidR="00000000" w:rsidRDefault="00C47600">
      <w:pPr>
        <w:ind w:left="0" w:firstLine="284"/>
        <w:jc w:val="both"/>
      </w:pPr>
      <w:r>
        <w:t>с) ручн</w:t>
      </w:r>
      <w:r>
        <w:t xml:space="preserve">ой насос производительностью 15—20 </w:t>
      </w:r>
      <w:r>
        <w:rPr>
          <w:i/>
        </w:rPr>
        <w:t>м</w:t>
      </w:r>
      <w:r>
        <w:rPr>
          <w:vertAlign w:val="superscript"/>
        </w:rPr>
        <w:t>3</w:t>
      </w:r>
      <w:r>
        <w:rPr>
          <w:i/>
        </w:rPr>
        <w:t>/час;</w:t>
      </w:r>
    </w:p>
    <w:p w:rsidR="00000000" w:rsidRDefault="00C47600">
      <w:pPr>
        <w:ind w:left="0" w:firstLine="284"/>
        <w:jc w:val="both"/>
      </w:pPr>
      <w:r>
        <w:t>т) прокладки из тряпичного картона или фибры.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>1. Опорные стойки стояка и насоса допускается изготовлять из угловой стали по ОСТ 10014—39 или по ОСТ 10015—39 равнопрочного швеллеру № 16 сечения.</w:t>
      </w: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 xml:space="preserve">2. Все фланцевые соединения стояка должны иметь перемычки, изготовленные из полосы красной меди или латуни толщиной 0,5—1 </w:t>
      </w:r>
      <w:r>
        <w:rPr>
          <w:i/>
          <w:sz w:val="18"/>
        </w:rPr>
        <w:t>мм,</w:t>
      </w:r>
      <w:r>
        <w:rPr>
          <w:sz w:val="18"/>
        </w:rPr>
        <w:t xml:space="preserve"> для создания непрерывности электрической цепи.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>6. Изготовление стояка должно обеспечивать надежную работу всей конструкции в целом.</w:t>
      </w:r>
    </w:p>
    <w:p w:rsidR="00000000" w:rsidRDefault="00C47600">
      <w:pPr>
        <w:ind w:left="0" w:firstLine="284"/>
        <w:jc w:val="both"/>
      </w:pPr>
      <w:r>
        <w:t xml:space="preserve">7. </w:t>
      </w:r>
      <w:r>
        <w:t>Резьбовые соединения должны быть на сурике или на свинцовом глете с подмоткой льняного волокна.</w:t>
      </w:r>
    </w:p>
    <w:p w:rsidR="00000000" w:rsidRDefault="00C47600">
      <w:pPr>
        <w:ind w:left="0" w:firstLine="284"/>
        <w:jc w:val="both"/>
      </w:pPr>
      <w:r>
        <w:t>8. Ось стояка должна быть строго вертикальна.</w:t>
      </w:r>
    </w:p>
    <w:p w:rsidR="00000000" w:rsidRDefault="00C47600">
      <w:pPr>
        <w:ind w:left="0" w:firstLine="284"/>
        <w:jc w:val="both"/>
      </w:pPr>
      <w:r>
        <w:t>9. Гнутье верхней части стояка производить в горячем состоянии во избежание трещин и вмятин в местах сгибов.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  <w:rPr>
          <w:sz w:val="18"/>
        </w:rPr>
      </w:pPr>
      <w:r>
        <w:rPr>
          <w:sz w:val="18"/>
        </w:rPr>
        <w:t>Примечание. Изготовление стояка может быть осуществлено из отдельных отрезков трубы (не более двух) с последующей сваркой их встык.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>10. После испытания и приемки стояка он должен быть окрашен масляной краской за 2 раза.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center"/>
        <w:rPr>
          <w:b/>
          <w:sz w:val="22"/>
        </w:rPr>
      </w:pPr>
      <w:proofErr w:type="spellStart"/>
      <w:r>
        <w:rPr>
          <w:b/>
          <w:sz w:val="22"/>
        </w:rPr>
        <w:t>II</w:t>
      </w:r>
      <w:proofErr w:type="spellEnd"/>
      <w:r>
        <w:rPr>
          <w:b/>
          <w:sz w:val="22"/>
        </w:rPr>
        <w:t>. Методы испытаний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>11. Каждый изгот</w:t>
      </w:r>
      <w:r>
        <w:t>овленный стояк должен быть подвергнут техническому контролю изготовителя.</w:t>
      </w:r>
    </w:p>
    <w:p w:rsidR="00000000" w:rsidRDefault="00C47600">
      <w:pPr>
        <w:ind w:left="0" w:firstLine="284"/>
        <w:jc w:val="both"/>
      </w:pPr>
      <w:r>
        <w:t>Контроль производится посредством:</w:t>
      </w:r>
    </w:p>
    <w:p w:rsidR="00000000" w:rsidRDefault="00C47600">
      <w:pPr>
        <w:ind w:left="0" w:firstLine="284"/>
        <w:jc w:val="both"/>
      </w:pPr>
      <w:r>
        <w:t>а) внешнего осмотра стояка с поверкой его размеров, форм и качества изготовления;</w:t>
      </w:r>
    </w:p>
    <w:p w:rsidR="00000000" w:rsidRDefault="00C47600">
      <w:pPr>
        <w:ind w:left="0" w:firstLine="284"/>
        <w:jc w:val="both"/>
      </w:pPr>
      <w:r>
        <w:t>б) проверки легкости вращения верха стояка;</w:t>
      </w:r>
    </w:p>
    <w:p w:rsidR="00000000" w:rsidRDefault="00C47600">
      <w:pPr>
        <w:ind w:left="0" w:firstLine="284"/>
        <w:jc w:val="both"/>
      </w:pPr>
      <w:r>
        <w:t>в) проверки герметичности и надежности работы всей конструкции в целом.</w:t>
      </w:r>
    </w:p>
    <w:p w:rsidR="00000000" w:rsidRDefault="00C47600">
      <w:pPr>
        <w:ind w:left="0" w:firstLine="284"/>
        <w:jc w:val="both"/>
      </w:pPr>
      <w:r>
        <w:t>12. Внешним осмотром устанавливается соответствие всех составных частей стояка требованиям настоящего стандарта.</w:t>
      </w:r>
    </w:p>
    <w:p w:rsidR="00000000" w:rsidRDefault="00C47600">
      <w:pPr>
        <w:ind w:left="0" w:firstLine="284"/>
        <w:jc w:val="both"/>
      </w:pPr>
      <w:r>
        <w:t>13. Проверка на легкость вращения верха стояка осуществляется поворотом верха стояка за руко</w:t>
      </w:r>
      <w:r>
        <w:t xml:space="preserve">ятку. Верх стояка должен плавно без </w:t>
      </w:r>
      <w:proofErr w:type="spellStart"/>
      <w:r>
        <w:t>заеданий</w:t>
      </w:r>
      <w:proofErr w:type="spellEnd"/>
      <w:r>
        <w:t xml:space="preserve"> поворачиваться в пределах, допускаемых ограничителем.</w:t>
      </w:r>
    </w:p>
    <w:p w:rsidR="00000000" w:rsidRDefault="00C47600">
      <w:pPr>
        <w:ind w:left="0" w:firstLine="284"/>
        <w:jc w:val="both"/>
      </w:pPr>
      <w:r>
        <w:t>14. Проверка герметичности и надежности работы всей конструкции в целом производится пробной прокачкой продукта, для которого предназначается стояк.</w:t>
      </w:r>
    </w:p>
    <w:p w:rsidR="00000000" w:rsidRDefault="00C47600">
      <w:pPr>
        <w:ind w:left="0" w:firstLine="284"/>
        <w:jc w:val="both"/>
      </w:pPr>
      <w:r>
        <w:t>15. Стояк считается выдержавшим испытание, если в течение 15 мин. после начала прокачки на теле стояка, в обвязке насоса, в фланцевых и резьбовых соединениях не будет наблюдаться течи.</w:t>
      </w:r>
    </w:p>
    <w:p w:rsidR="00000000" w:rsidRDefault="00C47600">
      <w:pPr>
        <w:ind w:left="0" w:firstLine="284"/>
        <w:jc w:val="both"/>
      </w:pPr>
      <w:r>
        <w:t>При неудовлетворительных результатах этого испытания стояк приемке не подлежит.</w:t>
      </w:r>
    </w:p>
    <w:p w:rsidR="00000000" w:rsidRDefault="00C47600">
      <w:pPr>
        <w:ind w:left="0" w:firstLine="284"/>
        <w:jc w:val="both"/>
      </w:pPr>
      <w:r>
        <w:t>16. Все обнаруженные при проверках дефекты должны быть устранены.</w:t>
      </w:r>
    </w:p>
    <w:p w:rsidR="00000000" w:rsidRDefault="00C47600">
      <w:pPr>
        <w:ind w:left="0" w:firstLine="284"/>
        <w:jc w:val="both"/>
      </w:pPr>
      <w:r>
        <w:t xml:space="preserve">17. Дефекты сварных швов устраняются вторичной </w:t>
      </w:r>
      <w:proofErr w:type="spellStart"/>
      <w:r>
        <w:t>подваркой</w:t>
      </w:r>
      <w:proofErr w:type="spellEnd"/>
      <w:r>
        <w:t xml:space="preserve"> с предварительной зачисткой их. Подчеканка швов не допускается.</w:t>
      </w:r>
    </w:p>
    <w:p w:rsidR="00000000" w:rsidRDefault="00C47600">
      <w:pPr>
        <w:ind w:left="0" w:firstLine="284"/>
        <w:jc w:val="both"/>
      </w:pPr>
      <w:r>
        <w:t>18. После устранения дефектов стояк должен быть подвергнут повторному испытанию.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rPr>
          <w:u w:val="single"/>
        </w:rPr>
        <w:t>Замена</w:t>
      </w:r>
    </w:p>
    <w:p w:rsidR="00000000" w:rsidRDefault="00C47600">
      <w:pPr>
        <w:ind w:left="0" w:firstLine="284"/>
        <w:jc w:val="both"/>
      </w:pPr>
    </w:p>
    <w:p w:rsidR="00000000" w:rsidRDefault="00C47600">
      <w:pPr>
        <w:ind w:left="0" w:firstLine="284"/>
        <w:jc w:val="both"/>
      </w:pPr>
      <w:r>
        <w:t>ГОСТ 301—50 введен взамен ГОСТ 301—44.</w:t>
      </w:r>
    </w:p>
    <w:p w:rsidR="00000000" w:rsidRDefault="00C47600">
      <w:pPr>
        <w:ind w:left="0" w:firstLine="284"/>
        <w:jc w:val="both"/>
      </w:pPr>
      <w:r>
        <w:t>ГОСТ 5681—51 введен взамен ОСТ 10019—39.</w:t>
      </w:r>
    </w:p>
    <w:p w:rsidR="00000000" w:rsidRDefault="00C47600">
      <w:pPr>
        <w:ind w:left="0" w:firstLine="284"/>
        <w:jc w:val="both"/>
      </w:pPr>
      <w:r>
        <w:t>ГОСТ 2590—51 введен взамен ГОСТ 2590—44.</w:t>
      </w:r>
    </w:p>
    <w:p w:rsidR="00000000" w:rsidRDefault="00C47600">
      <w:pPr>
        <w:ind w:left="0" w:firstLine="284"/>
        <w:jc w:val="both"/>
      </w:pPr>
      <w:r>
        <w:t>ГОСТ 3706—54 введен взамен ГОСТ 3706—47.</w:t>
      </w:r>
    </w:p>
    <w:p w:rsidR="00000000" w:rsidRDefault="00C47600">
      <w:pPr>
        <w:ind w:left="0" w:firstLine="284"/>
        <w:jc w:val="both"/>
      </w:pPr>
      <w:r>
        <w:t>ГОСТ 6681—53 введен взамен ОСТ 1770—39.</w:t>
      </w:r>
    </w:p>
    <w:p w:rsidR="00000000" w:rsidRDefault="00C47600">
      <w:pPr>
        <w:ind w:left="0" w:firstLine="284"/>
        <w:jc w:val="both"/>
      </w:pPr>
      <w:r>
        <w:t>ГОСТ 1255—54 введен взамен ГОСТ</w:t>
      </w:r>
      <w:r>
        <w:t xml:space="preserve"> 1255—41.</w:t>
      </w:r>
    </w:p>
    <w:p w:rsidR="00000000" w:rsidRDefault="00C47600">
      <w:pPr>
        <w:ind w:left="0" w:firstLine="284"/>
        <w:jc w:val="both"/>
      </w:pPr>
      <w:r>
        <w:t xml:space="preserve">ГОСТ 5909—51, ГОСТ 5910—51, ГОСТ 5911—53 введены взамен ОСТ </w:t>
      </w:r>
      <w:proofErr w:type="spellStart"/>
      <w:r>
        <w:t>НКТП</w:t>
      </w:r>
      <w:proofErr w:type="spellEnd"/>
      <w:r>
        <w:t xml:space="preserve"> 3310.</w:t>
      </w:r>
    </w:p>
    <w:p w:rsidR="00000000" w:rsidRDefault="00C47600">
      <w:pPr>
        <w:ind w:left="0" w:firstLine="284"/>
        <w:jc w:val="both"/>
      </w:pPr>
      <w:r>
        <w:t xml:space="preserve">ГОСТ 6957—54 введен взамен ОСТ </w:t>
      </w:r>
      <w:proofErr w:type="spellStart"/>
      <w:r>
        <w:t>НКТП</w:t>
      </w:r>
      <w:proofErr w:type="spellEnd"/>
      <w:r>
        <w:t xml:space="preserve"> 3100.</w:t>
      </w:r>
    </w:p>
    <w:p w:rsidR="00000000" w:rsidRDefault="00C47600">
      <w:pPr>
        <w:ind w:left="0" w:firstLine="284"/>
        <w:jc w:val="both"/>
      </w:pPr>
      <w:r>
        <w:t>ГОСТ 397—54 введен взамен ГОСТ 397—41.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600"/>
    <w:rsid w:val="00C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left="520" w:firstLine="50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5583</Characters>
  <Application>Microsoft Office Word</Application>
  <DocSecurity>0</DocSecurity>
  <Lines>46</Lines>
  <Paragraphs>13</Paragraphs>
  <ScaleCrop>false</ScaleCrop>
  <Company>Elcom Ltd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Всесоюзный </dc:title>
  <dc:subject/>
  <dc:creator>CNTI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