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0CAE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5578-94</w:t>
      </w:r>
    </w:p>
    <w:p w:rsidR="00000000" w:rsidRDefault="00CF0CAE">
      <w:pPr>
        <w:jc w:val="right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Ж 17</w:t>
      </w:r>
    </w:p>
    <w:p w:rsidR="00000000" w:rsidRDefault="00CF0CAE">
      <w:pPr>
        <w:jc w:val="right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Щебень и песок из шлаков черной</w:t>
      </w: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цветной металлургии для бетонов</w:t>
      </w: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Технические условия </w:t>
      </w: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F0CAE">
      <w:pPr>
        <w:jc w:val="center"/>
        <w:rPr>
          <w:rFonts w:ascii="Times New Roman" w:hAnsi="Times New Roman"/>
          <w:sz w:val="20"/>
        </w:rPr>
      </w:pP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Slag crushed stone and slag sand of ferrous and </w:t>
      </w: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non-ferrous metallurgy for concretes.</w:t>
      </w: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Specifications </w:t>
      </w:r>
    </w:p>
    <w:p w:rsidR="00000000" w:rsidRDefault="00CF0CAE">
      <w:pPr>
        <w:jc w:val="both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Дата введения 1996-01-01 </w:t>
      </w:r>
    </w:p>
    <w:p w:rsidR="00000000" w:rsidRDefault="00CF0CAE">
      <w:pPr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институтом НИИЖБ с участием ВНИПИИстромсырье, УралНИИстромпроект АО "НЭП" Уральский институт металлов" Российской Федерации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Минстроем России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Межгосударственной научно-технической комиссией по стандартизации и техническому нормированию в строительстве (МНТКС) 17 ноября 1994 г.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552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государства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органа государственного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управления строительством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Беларусь </w:t>
            </w:r>
          </w:p>
          <w:p w:rsidR="00000000" w:rsidRDefault="00CF0CA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</w:t>
            </w:r>
            <w:r>
              <w:rPr>
                <w:rFonts w:ascii="Times New Roman" w:hAnsi="Times New Roman"/>
                <w:sz w:val="20"/>
              </w:rPr>
              <w:t>спублики Беларусь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Республики Казахстан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Кыргызская Республика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Кыргызской Республики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России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Таджикистан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Таджикистан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Узбекистан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Госкомархитектстрой Республики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Узбекистан </w:t>
            </w:r>
          </w:p>
          <w:p w:rsidR="00000000" w:rsidRDefault="00CF0CAE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 В ДЕЙСТВИЕ с 1 января 1996 г. в качестве государственного стандарта Российской Федерации Постановлением Минстроя России от 12 апреля 1995 г., № 18-37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ВЗАМЕН ГОСТ 5578-76      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ГОСТ 5578-94 </w:t>
      </w:r>
      <w:r>
        <w:rPr>
          <w:rFonts w:ascii="Times New Roman" w:hAnsi="Times New Roman"/>
          <w:sz w:val="20"/>
        </w:rPr>
        <w:t>"Щебень и песок из шлаков черной и цветной металлургии для бетонов. Технические условия"  с 01.07.98  утратил силу на территории РФ в части методов химического анализа с вводом ГОСТ 8269.97 (постановление Госстроя России от 06.01.98 N 18-2) 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Внесена поправка (ИУС № 10 1996 г.)</w:t>
      </w: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            </w:t>
      </w: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щебень и песок из доменных и ферросплавных (силикомарганца) шлаков черной металлургии и никелевых и медеплавильных шлаков цветной металлургии, применяемые в</w:t>
      </w:r>
      <w:r>
        <w:rPr>
          <w:rFonts w:ascii="Times New Roman" w:hAnsi="Times New Roman"/>
          <w:sz w:val="20"/>
        </w:rPr>
        <w:t xml:space="preserve"> качестве заполнителей для тяжелых, мелкозернистых, жаростойких бетонов и для засыпок.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щебень и песок для дорожного строительства и на гранулированные шлаки для производства цемента.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Требования, изложенные в пунктах 4.2, 4.3.1-4.3.5, 4.3.8, разделах 5 и 6, являются обязательными.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CF0CAE">
      <w:pPr>
        <w:jc w:val="center"/>
        <w:rPr>
          <w:rFonts w:ascii="Times New Roman" w:hAnsi="Times New Roman"/>
          <w:sz w:val="20"/>
        </w:rPr>
      </w:pPr>
    </w:p>
    <w:p w:rsidR="00000000" w:rsidRDefault="00CF0CAE">
      <w:pPr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vanish/>
          <w:sz w:val="20"/>
        </w:rPr>
        <w:t xml:space="preserve"> </w:t>
      </w:r>
      <w:r>
        <w:rPr>
          <w:rFonts w:ascii="Times New Roman" w:hAnsi="Times New Roman"/>
          <w:sz w:val="20"/>
        </w:rPr>
        <w:t>ГОСТ 3344-83 Щебень и песок шлаковые для дорожного строительства. Технические условия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vanish/>
          <w:sz w:val="20"/>
        </w:rPr>
        <w:t xml:space="preserve"> </w:t>
      </w:r>
      <w:r>
        <w:rPr>
          <w:rFonts w:ascii="Times New Roman" w:hAnsi="Times New Roman"/>
          <w:sz w:val="20"/>
        </w:rPr>
        <w:t>ГОСТ 5382-91 Це</w:t>
      </w:r>
      <w:r>
        <w:rPr>
          <w:rFonts w:ascii="Times New Roman" w:hAnsi="Times New Roman"/>
          <w:sz w:val="20"/>
        </w:rPr>
        <w:t>менты и материалы цементного производства. Методы химического анализа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8269-87 Щебень из природного камня, гравий и щебень из гравия. Методы испытаний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8735-88 Песок для строительных работ. Методы испытаний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9758-86 Заполнители пористые неорганические для строительных работ. Методы испытаний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vanish/>
          <w:sz w:val="20"/>
        </w:rPr>
        <w:t xml:space="preserve"> </w:t>
      </w:r>
      <w:r>
        <w:rPr>
          <w:rFonts w:ascii="Times New Roman" w:hAnsi="Times New Roman"/>
          <w:sz w:val="20"/>
        </w:rPr>
        <w:t>ГОСТ 30108-94 Материалы и изделия строительные. Определение удельной эффективной активности естественных радионуклидов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Определения </w:t>
      </w:r>
    </w:p>
    <w:p w:rsidR="00000000" w:rsidRDefault="00CF0CAE">
      <w:pPr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применяют следующие термины.</w:t>
      </w:r>
    </w:p>
    <w:p w:rsidR="00000000" w:rsidRDefault="00CF0CAE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Щебень шлако</w:t>
      </w:r>
      <w:r>
        <w:rPr>
          <w:rFonts w:ascii="Times New Roman" w:hAnsi="Times New Roman"/>
          <w:b/>
          <w:sz w:val="20"/>
        </w:rPr>
        <w:t>вый</w:t>
      </w:r>
      <w:r>
        <w:rPr>
          <w:rFonts w:ascii="Times New Roman" w:hAnsi="Times New Roman"/>
          <w:sz w:val="20"/>
        </w:rPr>
        <w:t xml:space="preserve"> - неорганический зернистый сыпучий материал с крупностью зерен св. 5 мм, получаемый дроблением шлаков черной (доменных и ферросплавных) и цветной металлургии.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Песок из отсевов дробления шлаков</w:t>
      </w:r>
      <w:r>
        <w:rPr>
          <w:rFonts w:ascii="Times New Roman" w:hAnsi="Times New Roman"/>
          <w:sz w:val="20"/>
        </w:rPr>
        <w:t xml:space="preserve"> - неорганический зернистый сыпучий материал с крупностью зерен до 5 мм, получаемый путем выделения рассевом из отсевов дробления на щебень шлаков черной и цветной металлургии.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Песок из гранулированных шлаков</w:t>
      </w:r>
      <w:r>
        <w:rPr>
          <w:rFonts w:ascii="Times New Roman" w:hAnsi="Times New Roman"/>
          <w:sz w:val="20"/>
        </w:rPr>
        <w:t xml:space="preserve"> - неорганический зернистый сыпучий материал с крупностью зерен до 5 мм, получаемый при дроблении гранулир</w:t>
      </w:r>
      <w:r>
        <w:rPr>
          <w:rFonts w:ascii="Times New Roman" w:hAnsi="Times New Roman"/>
          <w:sz w:val="20"/>
        </w:rPr>
        <w:t>ованных шлаков цветной металлургии с использованием специального дробильно-сортировочного оборудования.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Технические требования</w:t>
      </w: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F0CAE">
      <w:pPr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Щебень и песок шлаковые черной и цветной металлургии (далее - щебень и песок) должны изготовляться в соответствии с требованиями настоящего стандарта по технологической документации, утвержденной предприятием-изготовителем.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4.2. </w:t>
      </w:r>
      <w:r>
        <w:rPr>
          <w:rFonts w:ascii="Times New Roman" w:hAnsi="Times New Roman"/>
          <w:b/>
          <w:sz w:val="20"/>
        </w:rPr>
        <w:t xml:space="preserve"> Основные параметры и размеры</w:t>
      </w:r>
    </w:p>
    <w:p w:rsidR="00000000" w:rsidRDefault="00CF0CAE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 Щебень выпускают следующих основных фракций: от 5 (3) до 10 мм, св. 10 до 20 мм, св. 20 до 40 мм, св. 40 до</w:t>
      </w:r>
      <w:r>
        <w:rPr>
          <w:rFonts w:ascii="Times New Roman" w:hAnsi="Times New Roman"/>
          <w:sz w:val="20"/>
        </w:rPr>
        <w:t xml:space="preserve"> 80 (70) мм и смеси фракций от 5 (3) до 20 мм.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 Полные остатки на контрольных ситах при рассеве щебня указанных фракций и смеси фракций должны соответствовать указанным в таблице 1, где d и D  - наименьшие и наибольшие номинальные размеры зерен.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CF0CAE">
      <w:pPr>
        <w:jc w:val="right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276"/>
        <w:gridCol w:w="850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отверстий контрольных сит, мм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0,5(d+D)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1,25D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Полные остатки на ситах,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 по массе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90 до 100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30 до 80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10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0,5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- Для щебня фракции от 5 (3) до 10 мм применяют сита 2,5 и 1, 25 мм, </w:t>
            </w:r>
            <w:r>
              <w:rPr>
                <w:rFonts w:ascii="Times New Roman" w:hAnsi="Times New Roman"/>
                <w:sz w:val="20"/>
              </w:rPr>
              <w:t>полные остатки на которых должны быть соответственно от 95 до 100% по массе.</w:t>
            </w:r>
          </w:p>
          <w:p w:rsidR="00000000" w:rsidRDefault="00CF0C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F0CAE">
      <w:pPr>
        <w:jc w:val="right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4.2.3 Форму зерен щебня характеризуют содержанием зерен пластинчатой (лещадной) и игловатой формы. Щебень в зависимости от содержания зерен пластинчатой и игловатой формы подразделяют на 3 группы, которые должны соответствовать указанным в таблице 2.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970"/>
        <w:gridCol w:w="3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Группа щебня по форме зерен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зерен пластинчатой (лещадной) и игловатой формы, % по массе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15 включ.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15 до 25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25    " </w:t>
            </w:r>
            <w:r>
              <w:rPr>
                <w:rFonts w:ascii="Times New Roman" w:hAnsi="Times New Roman"/>
                <w:sz w:val="20"/>
              </w:rPr>
              <w:t xml:space="preserve"> 35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4.2.4 Прочность щебня характеризуют маркой, определяемой по дробимости щебня при сжатии (раздавливании) в цилиндре в сухом состоянии.     </w:t>
      </w:r>
    </w:p>
    <w:p w:rsidR="00000000" w:rsidRDefault="00CF0CAE">
      <w:pPr>
        <w:ind w:firstLine="40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 по дробимости щебня должны соответствовать значениям, указанным в таблице 3.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CF0CAE">
      <w:pPr>
        <w:jc w:val="right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150"/>
        <w:gridCol w:w="33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по дробимости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щебня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Потеря массы при испытании щебня, %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До 10  включ. </w:t>
            </w: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Св. 15  до 15  -" - </w:t>
            </w: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"   15  "  25  -" - </w:t>
            </w: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"   25  "  35  -" - </w:t>
            </w: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"   35  "  45  -" -</w:t>
            </w: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</w:p>
        </w:tc>
      </w:tr>
    </w:tbl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>2.5 Морозостойкость щебня характеризуют числом циклов попеременного замораживания и оттаивания, при котором потери в процентах по массе не превышают установленных в таблице 4 значений.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CF0CAE">
      <w:pPr>
        <w:jc w:val="right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660"/>
        <w:gridCol w:w="690"/>
        <w:gridCol w:w="690"/>
        <w:gridCol w:w="690"/>
        <w:gridCol w:w="825"/>
        <w:gridCol w:w="825"/>
        <w:gridCol w:w="825"/>
        <w:gridCol w:w="825"/>
        <w:gridCol w:w="8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испытания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по морозостойкости щебня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F15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F25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F50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F100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F150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F200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F300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F400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Замораживание - оттаивание: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число циклов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потеря массы после   испытания,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% не   более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F0CAE">
      <w:pPr>
        <w:ind w:firstLine="540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4.2.6 В зависимости от зернового состава песок подразделяют на группы по крупности. Каждую группу песка характеризуют значением модуля крупности, указанным в таблице 5.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CF0CA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33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 песка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Модуль крупности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Очень крупный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Повышенной крупности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Крупный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Мелкий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Св. 3,5</w:t>
            </w: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"   3,0  до  3,25</w:t>
            </w: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"   2,5  "   3,0</w:t>
            </w: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"   2,0  "   2,5</w:t>
            </w: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"   1,5  "   2,0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4.2.7 Полный остаток песка</w:t>
      </w:r>
      <w:r>
        <w:rPr>
          <w:rFonts w:ascii="Times New Roman" w:hAnsi="Times New Roman"/>
          <w:sz w:val="20"/>
        </w:rPr>
        <w:t xml:space="preserve"> на сите с сеткой № 063 должен соответствовать значениям, указанным в таблице 6.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6 </w:t>
      </w:r>
    </w:p>
    <w:p w:rsidR="00000000" w:rsidRDefault="00CF0CAE">
      <w:pPr>
        <w:jc w:val="center"/>
        <w:rPr>
          <w:rFonts w:ascii="Times New Roman" w:hAnsi="Times New Roman"/>
          <w:sz w:val="20"/>
        </w:rPr>
      </w:pPr>
    </w:p>
    <w:p w:rsidR="00000000" w:rsidRDefault="00CF0CA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процентах по массе</w:t>
      </w:r>
    </w:p>
    <w:p w:rsidR="00000000" w:rsidRDefault="00CF0CAE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33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 песка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Полный остаток на сите № 063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Очень крупный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Повышенной крупности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Крупный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Мелкий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Св. 75</w:t>
            </w: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"   65  до  75</w:t>
            </w: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"   45  "   65</w:t>
            </w: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"   30  "   45</w:t>
            </w: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CF0CA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"   10  "   30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F0CAE">
      <w:pPr>
        <w:jc w:val="right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4.2.8  Зерновой состав песка из гранулированных шлаков цветной металлургии, получаемый при дроблении в специальном дробильно-сортировочном оборуд</w:t>
      </w:r>
      <w:r>
        <w:rPr>
          <w:rFonts w:ascii="Times New Roman" w:hAnsi="Times New Roman"/>
          <w:sz w:val="20"/>
        </w:rPr>
        <w:t xml:space="preserve">овании, должен соответствовать значениям, указанным в таблице 7.               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7 </w:t>
      </w:r>
    </w:p>
    <w:p w:rsidR="00000000" w:rsidRDefault="00CF0CAE">
      <w:pPr>
        <w:jc w:val="center"/>
        <w:rPr>
          <w:rFonts w:ascii="Times New Roman" w:hAnsi="Times New Roman"/>
          <w:sz w:val="20"/>
        </w:rPr>
      </w:pPr>
    </w:p>
    <w:p w:rsidR="00000000" w:rsidRDefault="00CF0CA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В процентах по массе </w:t>
      </w:r>
    </w:p>
    <w:p w:rsidR="00000000" w:rsidRDefault="00CF0CA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33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отверстия контрольного сита, мм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Полный остаток на контрольных ситах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0-5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0-25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0,63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20 до 50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0,315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50  "  80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80  "  90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Проход через сито № 016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10  "  20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Модуль крупности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1,6  "  2,7 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4.2.9 Содержание в песке зерен крупностью св. 10; 5 и менее 0,16 мм не должно превышать значений, указанн</w:t>
      </w:r>
      <w:r>
        <w:rPr>
          <w:rFonts w:ascii="Times New Roman" w:hAnsi="Times New Roman"/>
          <w:sz w:val="20"/>
        </w:rPr>
        <w:t>ых в таблице 8.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8 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процентах по массе, не более             </w:t>
      </w:r>
    </w:p>
    <w:p w:rsidR="00000000" w:rsidRDefault="00CF0CA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1323"/>
        <w:gridCol w:w="16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песка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зерен крупностью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 10 мм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 5 мм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Менее 0,16 мм </w:t>
            </w:r>
          </w:p>
          <w:p w:rsidR="00000000" w:rsidRDefault="00CF0CA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отсевов дробления шлаков</w:t>
            </w:r>
          </w:p>
          <w:p w:rsidR="00000000" w:rsidRDefault="00CF0CA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 гранулированных шлаков </w:t>
            </w:r>
          </w:p>
          <w:p w:rsidR="00000000" w:rsidRDefault="00CF0CAE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CF0C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F0CAE">
      <w:pPr>
        <w:ind w:firstLine="76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4.3 </w:t>
      </w:r>
      <w:r>
        <w:rPr>
          <w:rFonts w:ascii="Times New Roman" w:hAnsi="Times New Roman"/>
          <w:b/>
          <w:sz w:val="20"/>
        </w:rPr>
        <w:t>Характеристики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 Потери при прокаливании в щебне и песке не должны превышать, в % по массе: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7 - из отвального шлака;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3 - из шлаков текущего выхода и ковшовых остатков.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4.3.2 Щебень и песок должны обладать устойчивой структурой против с</w:t>
      </w:r>
      <w:r>
        <w:rPr>
          <w:rFonts w:ascii="Times New Roman" w:hAnsi="Times New Roman"/>
          <w:sz w:val="20"/>
        </w:rPr>
        <w:t xml:space="preserve">иликатного и сульфидного распадов.               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 оксидов железа и марганца (FeO+MnO) в щебне и песке из доменных шлаков не должно быть более 3% по массе, при этом содержание сульфидной серы не должно быть более 1,5% по массе.</w:t>
      </w:r>
    </w:p>
    <w:p w:rsidR="00000000" w:rsidRDefault="00CF0CAE">
      <w:pPr>
        <w:ind w:firstLine="1170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Потеря массы при определении стойкости против силикатного и железистого распадов не должна быть более 5 и 8% соответственно.</w:t>
      </w:r>
    </w:p>
    <w:p w:rsidR="00000000" w:rsidRDefault="00CF0CAE">
      <w:pPr>
        <w:ind w:firstLine="1350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4.3.3 Содержание в щебне и песке сернистых и сернокислых соединений в пересчете на SO(3) не должно быть более 4,5% по массе.            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4.3.4 Со</w:t>
      </w:r>
      <w:r>
        <w:rPr>
          <w:rFonts w:ascii="Times New Roman" w:hAnsi="Times New Roman"/>
          <w:sz w:val="20"/>
        </w:rPr>
        <w:t>держание пылевидных частиц не должно быть более, в % по массе: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7 - в щебне и песке из шлаков текущего выхода и ковшовых остатков при определении отмучиванием;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в песке из гранулированных шлаков текущего выхода при определении набуханием;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3 - в щебне из отвальных шлаков при определении отмучиванием;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3 - в песке из отвальных шлаков при определении набуханием.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4.3.5 Содержание глины в комках в щебне и песке из отвальных шлаков не должно быть более 0,25% по массе.             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 Содержание металлич</w:t>
      </w:r>
      <w:r>
        <w:rPr>
          <w:rFonts w:ascii="Times New Roman" w:hAnsi="Times New Roman"/>
          <w:sz w:val="20"/>
        </w:rPr>
        <w:t>еских включений (корольков, скрапа) не должно быть более, в % по массе: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 в щебне;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3 - в песке.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4.3.7 Щебень и песок не должны содержать посторонних засоряющих включений.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4.3.8 Щебню и песку должна быть дана радиационно-гигиеническая оценка, по результатам которой определяют область его применения. Щебень и песок в зависимости от значений удельной эффективной активности естественных радионуклидов А(эфф) [1] применяют:             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при А(эфф) до 370 Бк/кг  - во вновь строящихся жилых и общественных </w:t>
      </w:r>
      <w:r>
        <w:rPr>
          <w:rFonts w:ascii="Times New Roman" w:hAnsi="Times New Roman"/>
          <w:sz w:val="20"/>
        </w:rPr>
        <w:t>зданиях;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при А(эфф) св. 370 до 740 Бк/кг - во вновь строящихся производственных зданиях и сооружениях.     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Правила приемки </w:t>
      </w:r>
    </w:p>
    <w:p w:rsidR="00000000" w:rsidRDefault="00CF0CAE">
      <w:pPr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 Щебень и песок должны быть приняты техническим контролем предприятия-изготовителя.              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 Приемку и поставку щебня и песка проводят партиями. Партией считают количество щебня одной фракции (смеси фракций), а для песка - одного модуля крупности, одновременно отгружаемые одному потребителю в одном железнодорожном составе. При отгрузке автомобильным транспортом </w:t>
      </w:r>
      <w:r>
        <w:rPr>
          <w:rFonts w:ascii="Times New Roman" w:hAnsi="Times New Roman"/>
          <w:sz w:val="20"/>
        </w:rPr>
        <w:t xml:space="preserve">партией считают количество щебня одной фракции, а для песка - одного модуля крупности, отгружаемое одному потребителю в течение суток.               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 Для проверки соответствия качества щебня и песка требованиям настоящего стандарта проводят приемосдаточные и периодические испытания.               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Приемочный контроль на предприятии-изготовителе проводят ежесуточно путем испытания объединенной пробы щебня (песка), отобранной с каждой технологической линии.               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приемосдаточных испытаниях</w:t>
      </w:r>
      <w:r>
        <w:rPr>
          <w:rFonts w:ascii="Times New Roman" w:hAnsi="Times New Roman"/>
          <w:sz w:val="20"/>
        </w:rPr>
        <w:t xml:space="preserve"> определяют: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щебня и песка зерновой состав, содержание пылевидных частиц, а для щебня и песка из отвальных шлаков также и содержание глины в комках.                   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При периодических испытаниях определяют:</w:t>
      </w:r>
    </w:p>
    <w:p w:rsidR="00000000" w:rsidRDefault="00CF0CAE">
      <w:pPr>
        <w:ind w:firstLine="630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один раз в 10 сут - содержание металлических включений, форму зерен, потери при прокаливании;               </w:t>
      </w:r>
    </w:p>
    <w:p w:rsidR="00000000" w:rsidRDefault="00CF0CAE">
      <w:pPr>
        <w:ind w:firstLine="630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один раз в квартал - устойчивость структуры против распадов, содержание сернистых и сернокислых соединений, содержание сульфидной серы, содержание оксидов марганца и железа, проч</w:t>
      </w:r>
      <w:r>
        <w:rPr>
          <w:rFonts w:ascii="Times New Roman" w:hAnsi="Times New Roman"/>
          <w:sz w:val="20"/>
        </w:rPr>
        <w:t xml:space="preserve">ность, насыпную плотность;               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один раз в год - морозостойкость щебня и значение удельной эффективной активности естественных радионуклидов.               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Значение удельной эффективной активности естественных радионуклидов, устойчивость структуры против распадов, содержание сернистых и сернокислых соединений и сульфидной серы, оксидов марганца и железа, прочность и морозостойкость определяют также каждый раз при изменении сырья или технологии производства щебня и песка.               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 О</w:t>
      </w:r>
      <w:r>
        <w:rPr>
          <w:rFonts w:ascii="Times New Roman" w:hAnsi="Times New Roman"/>
          <w:sz w:val="20"/>
        </w:rPr>
        <w:t xml:space="preserve">тбор и подготовку проб щебня для контроля качества на предприятии-изготовителе проводят в соответствии с ГОСТ 8269, песка - ГОСТ 8735.               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 Партию щебня и песка считают принятой по результатам приемосдаточных и периодических испытаний, если значения показателей соответствуют требованиям настоящего стандарта.               </w:t>
      </w:r>
    </w:p>
    <w:p w:rsidR="00000000" w:rsidRDefault="00CF0CAE">
      <w:pPr>
        <w:ind w:firstLine="630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неудовлетворительных результатах испытаний хотя бы по одному из показателей, по этому показателю проводят повторные испытания. Результат повторного испытания является </w:t>
      </w:r>
      <w:r>
        <w:rPr>
          <w:rFonts w:ascii="Times New Roman" w:hAnsi="Times New Roman"/>
          <w:sz w:val="20"/>
        </w:rPr>
        <w:t xml:space="preserve">окончательным.               </w:t>
      </w:r>
    </w:p>
    <w:p w:rsidR="00000000" w:rsidRDefault="00CF0CAE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 Количество поставляемого щебня и песка определяют по массе или объему.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Массу щебня и песка, отгружаемых в вагонах или автомобилях, определяют взвешиванием на железнодорожных и автомобильных весах, отгружаемых на судах - по осадке судна.               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Объем щебня и песка в транспортном средстве определяют обмером.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Пересчет количества щебня и песка в партии из единиц массы в единицы объема производят по значению насыпной плотности, определенной во влажном состоянии на мо</w:t>
      </w:r>
      <w:r>
        <w:rPr>
          <w:rFonts w:ascii="Times New Roman" w:hAnsi="Times New Roman"/>
          <w:sz w:val="20"/>
        </w:rPr>
        <w:t xml:space="preserve">мент отгрузки.               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Объем щебня и песка у потребителя должен быть определен с учетом коэффициента уплотнения, установленного по согласованию изготовителя с потребителем в зависимости от дальности транспортирования, но не более 1,10.              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5.8 Каждая партия щебня и песка должна сопровождаться документом о качестве, в котором указывают:               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предприятия-изготовителя и его адрес;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и дату выдачи документа;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 адрес потребителя;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партии</w:t>
      </w:r>
      <w:r>
        <w:rPr>
          <w:rFonts w:ascii="Times New Roman" w:hAnsi="Times New Roman"/>
          <w:sz w:val="20"/>
        </w:rPr>
        <w:t xml:space="preserve"> и количество щебня (песка);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вагона или номер судна и номера накладных;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зерновой состав (модуль крупности) щебня (песка);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содержание зерен пластинчатой и игловатой формы;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марку по дробимости и морозостойкости щебня;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потери при прокаливании;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содержание оксидов железа и марганца, содержание сульфидной серы;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устойчивость структуры против силикатного и железистого распадов;               </w:t>
      </w:r>
    </w:p>
    <w:p w:rsidR="00000000" w:rsidRDefault="00CF0CAE">
      <w:pPr>
        <w:ind w:firstLine="630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содержание сернистых и сернокислых соединений;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содержание пылевидных частиц, а для щебня (п</w:t>
      </w:r>
      <w:r>
        <w:rPr>
          <w:rFonts w:ascii="Times New Roman" w:hAnsi="Times New Roman"/>
          <w:sz w:val="20"/>
        </w:rPr>
        <w:t xml:space="preserve">еска) из отвальных шлаков и содержание глины в комках;               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содержание металлических включений;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удельную эффективную активность естественных радионуклидов в щебне (песке).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Методы контроля </w:t>
      </w:r>
    </w:p>
    <w:p w:rsidR="00000000" w:rsidRDefault="00CF0CAE">
      <w:pPr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 Зерновой состав щебня, содержание пылевидных частиц, содержание глины в комках, форму зерен, прочность, морозостойкость определяют по ГОСТ 8269.               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Зерновой состав песка, содержание комовой глины определяют по ГОСТ 8735, содержание в песке пылевидных частиц методом набухания определя</w:t>
      </w:r>
      <w:r>
        <w:rPr>
          <w:rFonts w:ascii="Times New Roman" w:hAnsi="Times New Roman"/>
          <w:sz w:val="20"/>
        </w:rPr>
        <w:t xml:space="preserve">ют в соответствии с ГОСТ 3344.               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Содержание в щебне и песке металлических включений определяют по ГОСТ 3344.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 Устойчивость структуры щебня и песка против силикатного и железистого распадов, потери при прокаливании определяют по ГОСТ 9758.               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 Общее содержание сернистых и сернокислых соединений, сульфидной серы определяют по ГОСТ 8735.               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 Содержание оксидов железа и марганца определяют ГОСТ 5382.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 Удельную эффективную активность естественных радионук</w:t>
      </w:r>
      <w:r>
        <w:rPr>
          <w:rFonts w:ascii="Times New Roman" w:hAnsi="Times New Roman"/>
          <w:sz w:val="20"/>
        </w:rPr>
        <w:t>лидов в щебне и гравии определяют гамма-спектрометрическим методом в соответствии с ГОСТ 30108.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Транспортирование и хранение</w:t>
      </w: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 Щебень и песок перевозят навалом в транспортных средствах любого вида согласно действующим правилам перевозки грузов и техническим условиям погрузки и крепления грузов, утвержденным Министерством путей сообщения, правилам перевозки грузов автомобильным и водным транспортом.               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транспортировании щебня и песка железнодорожным транспортом вагоны следует загруж</w:t>
      </w:r>
      <w:r>
        <w:rPr>
          <w:rFonts w:ascii="Times New Roman" w:hAnsi="Times New Roman"/>
          <w:sz w:val="20"/>
        </w:rPr>
        <w:t xml:space="preserve">ать с учетом полного использования их грузоподъемности.               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 Щебень хранят раздельно по фракциям, песок - по модулю крупности в условиях, предохраняющих их от засорения и загрязнения.               </w:t>
      </w:r>
    </w:p>
    <w:p w:rsidR="00000000" w:rsidRDefault="00CF0CA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CF0CAE">
      <w:pPr>
        <w:jc w:val="right"/>
        <w:rPr>
          <w:rFonts w:ascii="Times New Roman" w:hAnsi="Times New Roman"/>
          <w:sz w:val="20"/>
        </w:rPr>
      </w:pPr>
    </w:p>
    <w:p w:rsidR="00000000" w:rsidRDefault="00CF0CA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(информационное)</w:t>
      </w:r>
    </w:p>
    <w:p w:rsidR="00000000" w:rsidRDefault="00CF0CAE">
      <w:pPr>
        <w:jc w:val="right"/>
        <w:rPr>
          <w:rFonts w:ascii="Times New Roman" w:hAnsi="Times New Roman"/>
          <w:sz w:val="20"/>
        </w:rPr>
      </w:pP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Библиография</w:t>
      </w:r>
    </w:p>
    <w:p w:rsidR="00000000" w:rsidRDefault="00CF0CA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F0CAE">
      <w:pPr>
        <w:jc w:val="center"/>
        <w:rPr>
          <w:rFonts w:ascii="Times New Roman" w:hAnsi="Times New Roman"/>
          <w:sz w:val="20"/>
        </w:rPr>
      </w:pP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[1]  Временные критерии для организации контроля и принятия решения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"Ограничение облучения населения от природных источников ионизирующего излучения". Москва, 1991.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Утверждены Государственным санитарным врачом СССР А.И.Кондрусевым 10 июня 1991 г. №</w:t>
      </w:r>
      <w:r>
        <w:rPr>
          <w:rFonts w:ascii="Times New Roman" w:hAnsi="Times New Roman"/>
          <w:sz w:val="20"/>
        </w:rPr>
        <w:t xml:space="preserve"> 5789-91.</w:t>
      </w:r>
    </w:p>
    <w:p w:rsidR="00000000" w:rsidRDefault="00CF0CAE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CF0CAE">
      <w:pPr>
        <w:rPr>
          <w:rFonts w:ascii="Times New Roman" w:hAnsi="Times New Roman"/>
          <w:sz w:val="20"/>
        </w:rPr>
      </w:pPr>
    </w:p>
    <w:p w:rsidR="00000000" w:rsidRDefault="00CF0CAE">
      <w:pPr>
        <w:rPr>
          <w:rFonts w:ascii="Times New Roman" w:hAnsi="Times New Roman"/>
          <w:sz w:val="20"/>
        </w:rPr>
      </w:pPr>
    </w:p>
    <w:p w:rsidR="00000000" w:rsidRDefault="00CF0CA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</w:t>
      </w:r>
    </w:p>
    <w:p w:rsidR="00000000" w:rsidRDefault="00CF0CAE">
      <w:pPr>
        <w:rPr>
          <w:rFonts w:ascii="Times New Roman" w:hAnsi="Times New Roman"/>
          <w:sz w:val="20"/>
        </w:rPr>
      </w:pPr>
    </w:p>
    <w:p w:rsidR="00000000" w:rsidRDefault="00CF0CA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CF0CA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CF0CA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Определения</w:t>
      </w:r>
    </w:p>
    <w:p w:rsidR="00000000" w:rsidRDefault="00CF0CA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Технические требования</w:t>
      </w:r>
    </w:p>
    <w:p w:rsidR="00000000" w:rsidRDefault="00CF0CA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Правила приемки</w:t>
      </w:r>
    </w:p>
    <w:p w:rsidR="00000000" w:rsidRDefault="00CF0CA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Методы контроля</w:t>
      </w:r>
    </w:p>
    <w:p w:rsidR="00000000" w:rsidRDefault="00CF0CA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Транспортирование и хранение</w:t>
      </w:r>
    </w:p>
    <w:p w:rsidR="00000000" w:rsidRDefault="00CF0CAE">
      <w:pPr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Приложение А Библиография</w:t>
      </w:r>
    </w:p>
    <w:p w:rsidR="00000000" w:rsidRDefault="00CF0CAE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CAE"/>
    <w:rsid w:val="00C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2360</Words>
  <Characters>13456</Characters>
  <Application>Microsoft Office Word</Application>
  <DocSecurity>0</DocSecurity>
  <Lines>112</Lines>
  <Paragraphs>31</Paragraphs>
  <ScaleCrop>false</ScaleCrop>
  <Company>Elcom Ltd</Company>
  <LinksUpToDate>false</LinksUpToDate>
  <CharactersWithSpaces>15785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5578-94</dc:title>
  <dc:subject/>
  <dc:creator>CNTI</dc:creator>
  <cp:keywords/>
  <dc:description/>
  <cp:lastModifiedBy>Parhomeiai</cp:lastModifiedBy>
  <cp:revision>2</cp:revision>
  <dcterms:created xsi:type="dcterms:W3CDTF">2013-04-11T11:05:00Z</dcterms:created>
  <dcterms:modified xsi:type="dcterms:W3CDTF">2013-04-11T11:05:00Z</dcterms:modified>
</cp:coreProperties>
</file>