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5D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7394-85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625.8.072:006.354                                                                                              Группа Ж18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H3"/>
        <w:spacing w:before="0" w:after="0"/>
        <w:ind w:firstLine="284"/>
        <w:jc w:val="center"/>
        <w:rPr>
          <w:b w:val="0"/>
          <w:sz w:val="20"/>
        </w:rPr>
      </w:pPr>
      <w:r>
        <w:rPr>
          <w:b w:val="0"/>
          <w:sz w:val="20"/>
        </w:rPr>
        <w:t>ГОСУДАРСТВЕННЫЙ СТАНДАРТ СОЮЗА ССР</w:t>
      </w: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Балласт гравийный и гравийно-песчаный</w:t>
      </w: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для железнодорожного пути</w:t>
      </w: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Технические ус</w:t>
      </w:r>
      <w:r>
        <w:rPr>
          <w:sz w:val="20"/>
        </w:rPr>
        <w:t>ловия</w:t>
      </w: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Gravel and sandy-gravel ballast for railway track.</w:t>
      </w: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Specifications</w:t>
      </w: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ОКП 57 1138 </w:t>
      </w:r>
    </w:p>
    <w:p w:rsidR="00000000" w:rsidRDefault="00155D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Дата введения 1986-01-01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ind w:firstLine="284"/>
        <w:jc w:val="both"/>
      </w:pPr>
      <w:r>
        <w:t>УТВЕРЖДЕН И ВВЕДЕН В ДЕЙСТВИЕ постановлением Государственного комитета СССР по делам строительства от 8 апреля 1985 г. № 46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t>ВЗАМЕН ГОСТ 7394-77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t xml:space="preserve">ПЕРЕИЗДАНИЕ. Ноябрь 1987 г. 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t>ВНЕСЕНО Изменение № 1, утвержденное Постановлением Госстроя РФ № 115 от 04.12.2000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t>Настоящий стандарт распространяется на гравий и гравийно-песчаный балласт, который является природной песчано-гравийной смесью, образовавш</w:t>
      </w:r>
      <w:r>
        <w:t>ейся в результате естественного разрушения горных пород, и используемый в качестве балластного слоя железнодорожного пути дорог общего пользования, а также дорог предприятий и организаций.</w:t>
      </w:r>
    </w:p>
    <w:p w:rsidR="00000000" w:rsidRDefault="00155D25">
      <w:pPr>
        <w:ind w:firstLine="284"/>
        <w:jc w:val="both"/>
      </w:pPr>
      <w:r>
        <w:t>Гравийный балласт должен применяться на приемо-отправочных и других станционных путях, а также в качестве подушки под щебеночный и асбестовый балласты; гравийно-песчаный - на малодеятельных станционных, подъездных и соединительных путях в качестве подушки под все виды балластов.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1. ТЕХНИЧЕСКИЕ ТРЕБОВАНИЯ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t>1.1. Гравийный</w:t>
      </w:r>
      <w:r>
        <w:t xml:space="preserve"> и гравийно-песчаный балласт должен выпускаться в соответствии с требованиями настоящего стандарта по технологической документации, утвержденной в установленном порядке.</w:t>
      </w:r>
    </w:p>
    <w:p w:rsidR="00000000" w:rsidRDefault="00155D25">
      <w:pPr>
        <w:ind w:firstLine="284"/>
        <w:jc w:val="both"/>
      </w:pPr>
      <w:r>
        <w:t>1.2. В зависимости от зернового состава природной песчано-гравийной смеси балласт подразделяется на следующие виды:</w:t>
      </w:r>
    </w:p>
    <w:p w:rsidR="00000000" w:rsidRDefault="00155D25">
      <w:pPr>
        <w:ind w:firstLine="284"/>
        <w:jc w:val="both"/>
      </w:pPr>
      <w:r>
        <w:t>гравийный;</w:t>
      </w:r>
    </w:p>
    <w:p w:rsidR="00000000" w:rsidRDefault="00155D25">
      <w:pPr>
        <w:ind w:firstLine="284"/>
        <w:jc w:val="both"/>
      </w:pPr>
      <w:r>
        <w:t>гравийно-песчаный.</w:t>
      </w:r>
    </w:p>
    <w:p w:rsidR="00000000" w:rsidRDefault="00155D25">
      <w:pPr>
        <w:ind w:firstLine="284"/>
        <w:jc w:val="both"/>
      </w:pPr>
      <w:r>
        <w:t>1.3. Гравийный и гравийно-песчаный балласт должен характеризоваться следующими показателями:</w:t>
      </w:r>
    </w:p>
    <w:p w:rsidR="00000000" w:rsidRDefault="00155D25">
      <w:pPr>
        <w:ind w:firstLine="284"/>
        <w:jc w:val="both"/>
      </w:pPr>
      <w:r>
        <w:t>зерновым составом;</w:t>
      </w:r>
    </w:p>
    <w:p w:rsidR="00000000" w:rsidRDefault="00155D25">
      <w:pPr>
        <w:ind w:firstLine="284"/>
        <w:jc w:val="both"/>
      </w:pPr>
      <w:r>
        <w:t>содержание кварцевых зерен прочных изверженных и метаморфических горных пород;</w:t>
      </w:r>
    </w:p>
    <w:p w:rsidR="00000000" w:rsidRDefault="00155D25">
      <w:pPr>
        <w:ind w:firstLine="284"/>
        <w:jc w:val="both"/>
      </w:pPr>
      <w:r>
        <w:t>содер</w:t>
      </w:r>
      <w:r>
        <w:t>жанием зерен слабых пород;</w:t>
      </w:r>
    </w:p>
    <w:p w:rsidR="00000000" w:rsidRDefault="00155D25">
      <w:pPr>
        <w:ind w:firstLine="284"/>
        <w:jc w:val="both"/>
      </w:pPr>
      <w:r>
        <w:t>содержанием пылевидных и глинистых частиц.</w:t>
      </w:r>
    </w:p>
    <w:p w:rsidR="00000000" w:rsidRDefault="00155D25">
      <w:pPr>
        <w:ind w:firstLine="284"/>
        <w:jc w:val="both"/>
      </w:pPr>
      <w:r>
        <w:t>1.4. Зерновой состав гравийного и гравийно-песчаного балласта должен соответствовать требованиям, указанным в табл.1.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Полные остатки на ситах, % по массе, в балласте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отверстий сит, мм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гравийном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гравийно-песчаном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22" w:type="dxa"/>
            <w:tcBorders>
              <w:lef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2522" w:type="dxa"/>
            <w:tcBorders>
              <w:lef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2" w:type="dxa"/>
            <w:tcBorders>
              <w:lef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40 до 80</w:t>
            </w:r>
          </w:p>
        </w:tc>
        <w:tc>
          <w:tcPr>
            <w:tcW w:w="2522" w:type="dxa"/>
            <w:tcBorders>
              <w:lef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bottom w:val="nil"/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70 до 100</w:t>
            </w:r>
          </w:p>
        </w:tc>
        <w:tc>
          <w:tcPr>
            <w:tcW w:w="2522" w:type="dxa"/>
            <w:tcBorders>
              <w:left w:val="nil"/>
              <w:bottom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35 до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90 до 100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85 до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 через сито 0,16 мм, %: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nil"/>
              <w:lef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2522" w:type="dxa"/>
            <w:tcBorders>
              <w:lef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righ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пылевидных и глинистых </w:t>
            </w:r>
            <w:r>
              <w:rPr>
                <w:rFonts w:ascii="Times New Roman" w:hAnsi="Times New Roman"/>
              </w:rPr>
              <w:t>частиц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</w:t>
            </w:r>
          </w:p>
        </w:tc>
        <w:tc>
          <w:tcPr>
            <w:tcW w:w="2522" w:type="dxa"/>
            <w:tcBorders>
              <w:left w:val="nil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</w:t>
            </w:r>
          </w:p>
        </w:tc>
      </w:tr>
    </w:tbl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ind w:firstLine="284"/>
        <w:jc w:val="both"/>
      </w:pPr>
      <w:r>
        <w:t>1.5. Содержание кварцевых зерен и зерен прочных изверженных и метаморфических горных пород в песчаной части балласта (фракции размером менее 5 мм) должно составлять не менее 50% массы зерен размером от 0,16 до 5 мм.</w:t>
      </w:r>
    </w:p>
    <w:p w:rsidR="00000000" w:rsidRDefault="00155D25">
      <w:pPr>
        <w:ind w:firstLine="284"/>
        <w:jc w:val="both"/>
      </w:pPr>
      <w:r>
        <w:t>1.6. Содержание зерен слабых горных пород в гравийной части балласта не должно превышать 10% массы зерен размером более 5 мм. К зернам слабых горных пород относят зерна с пределом прочности при сжатии в насыщенном водой состоянии менее 20 МПа (200 кгс/см</w:t>
      </w:r>
      <w:r>
        <w:rPr>
          <w:vertAlign w:val="superscript"/>
        </w:rPr>
        <w:t>2</w:t>
      </w:r>
      <w:r>
        <w:t>).</w:t>
      </w:r>
    </w:p>
    <w:p w:rsidR="00000000" w:rsidRDefault="00155D25">
      <w:pPr>
        <w:ind w:firstLine="284"/>
        <w:jc w:val="both"/>
      </w:pPr>
      <w:r>
        <w:t>1.7. Гравий и грави</w:t>
      </w:r>
      <w:r>
        <w:t xml:space="preserve">йно-песчаную смесь в зависимости от величины суммарной удельной эффективной активности естественных радионуклидов </w:t>
      </w:r>
      <w:r>
        <w:rPr>
          <w:position w:val="-14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25pt" o:ole="">
            <v:imagedata r:id="rId4" o:title=""/>
          </v:shape>
          <o:OLEObject Type="Embed" ProgID="Equation.3" ShapeID="_x0000_i1025" DrawAspect="Content" ObjectID="_1427202998" r:id="rId5"/>
        </w:object>
      </w:r>
      <w:r>
        <w:t xml:space="preserve"> применяют:</w:t>
      </w:r>
    </w:p>
    <w:p w:rsidR="00000000" w:rsidRDefault="00155D25">
      <w:pPr>
        <w:ind w:firstLine="284"/>
        <w:jc w:val="both"/>
      </w:pPr>
      <w:r>
        <w:t xml:space="preserve">в пределах территорий населенных пунктов и зон перспективной застройки при </w:t>
      </w:r>
      <w:r>
        <w:rPr>
          <w:position w:val="-14"/>
        </w:rPr>
        <w:object w:dxaOrig="480" w:dyaOrig="340">
          <v:shape id="_x0000_i1026" type="#_x0000_t75" style="width:24pt;height:17.25pt" o:ole="">
            <v:imagedata r:id="rId4" o:title=""/>
          </v:shape>
          <o:OLEObject Type="Embed" ProgID="Equation.3" ShapeID="_x0000_i1026" DrawAspect="Content" ObjectID="_1427202999" r:id="rId6"/>
        </w:object>
      </w:r>
      <w:r>
        <w:t xml:space="preserve"> свыше 370 Бк/кг до 740 Бк/кг;</w:t>
      </w:r>
    </w:p>
    <w:p w:rsidR="00000000" w:rsidRDefault="00155D25">
      <w:pPr>
        <w:ind w:firstLine="284"/>
        <w:jc w:val="both"/>
      </w:pPr>
      <w:r>
        <w:t>вне населенных пунктов при</w:t>
      </w:r>
      <w:r>
        <w:rPr>
          <w:position w:val="-14"/>
        </w:rPr>
        <w:object w:dxaOrig="480" w:dyaOrig="340">
          <v:shape id="_x0000_i1027" type="#_x0000_t75" style="width:24pt;height:17.25pt" o:ole="">
            <v:imagedata r:id="rId4" o:title=""/>
          </v:shape>
          <o:OLEObject Type="Embed" ProgID="Equation.3" ShapeID="_x0000_i1027" DrawAspect="Content" ObjectID="_1427203000" r:id="rId7"/>
        </w:object>
      </w:r>
      <w:r>
        <w:t xml:space="preserve"> свыше 740 Бк/кг до 1500 Бк/кг.</w:t>
      </w:r>
    </w:p>
    <w:p w:rsidR="00000000" w:rsidRDefault="00155D25">
      <w:pPr>
        <w:ind w:firstLine="284"/>
        <w:jc w:val="both"/>
      </w:pPr>
      <w: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</w:t>
      </w:r>
      <w:r>
        <w:t xml:space="preserve"> быть изменена в пределах норм, указанных выше.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rPr>
          <w:b/>
        </w:rPr>
        <w:t>(Введен дополнительно, Изм. № 1)</w:t>
      </w:r>
    </w:p>
    <w:p w:rsidR="00000000" w:rsidRDefault="00155D25">
      <w:pPr>
        <w:ind w:firstLine="284"/>
        <w:jc w:val="both"/>
      </w:pP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2. ПРАВИЛА ПРИЕМКИ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t>2.1. Поставку и приемку балласта производят партиями. Партией считают количество балласта, одновременно отгружаемого одному потребителю в одном железнодорожном составе.</w:t>
      </w:r>
    </w:p>
    <w:p w:rsidR="00000000" w:rsidRDefault="00155D25">
      <w:pPr>
        <w:ind w:firstLine="284"/>
        <w:jc w:val="both"/>
      </w:pPr>
      <w:r>
        <w:t>При транспортировании балласта автомобильным транспортом партией считают количество балласта, отгружаемого одному потребителю в течение суток.</w:t>
      </w:r>
    </w:p>
    <w:p w:rsidR="00000000" w:rsidRDefault="00155D25">
      <w:pPr>
        <w:ind w:firstLine="284"/>
        <w:jc w:val="both"/>
      </w:pPr>
      <w:r>
        <w:t>2.2. Количество поставляемого балласта определяют по объему посредством обмера его в вагонах, авт</w:t>
      </w:r>
      <w:r>
        <w:t>омобилях и других транспортных средствах на месте погрузки. При контрольных замерах балласта на месте выгрузки его объем пересчитывают с учетом коэффициента уплотнения при транспортировании, устанавливаемого по согласованию изготовителя с потребителем, в зависимости от дальности перевозки. Коэффициент уплотнения принимают не более 1,20 для гравийного и 1,15 для песчаного балласта.</w:t>
      </w:r>
    </w:p>
    <w:p w:rsidR="00000000" w:rsidRDefault="00155D25">
      <w:pPr>
        <w:ind w:firstLine="284"/>
        <w:jc w:val="both"/>
      </w:pPr>
      <w:r>
        <w:t>Количество поставляемого балласта может быть определено в весовых единицах путем пересчета объема материала по его насыпной плот</w:t>
      </w:r>
      <w:r>
        <w:t>ности. Насыпную плотность балласта определяют по ГОСТ 8269.0-97 или по ГОСТ 8735-88.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rPr>
          <w:b/>
        </w:rPr>
        <w:t>(Измененная редакция, Изм. № 1)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t>2.3. Приемочный контроль качества балласта на предприятии (карьере) - изготовителе проводят в его лаборатории в сроки, указанные в табл.2.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155D25">
      <w:pPr>
        <w:pStyle w:val="Aioiaue"/>
        <w:tabs>
          <w:tab w:val="clear" w:pos="9590"/>
        </w:tabs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испытания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испытания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Минимальная масса пробы </w:t>
            </w:r>
            <w:r>
              <w:rPr>
                <w:rFonts w:ascii="Times New Roman" w:hAnsi="Times New Roman"/>
              </w:rPr>
              <w:lastRenderedPageBreak/>
              <w:t>балласта для проведения одного испытания,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Определение зернового состава и содержание частиц размером менее 0,16 мм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содержания пылевидных </w:t>
            </w:r>
            <w:r>
              <w:rPr>
                <w:rFonts w:ascii="Times New Roman" w:hAnsi="Times New Roman"/>
              </w:rPr>
              <w:t>и глинистых частиц отмучиванием</w:t>
            </w:r>
          </w:p>
        </w:tc>
        <w:tc>
          <w:tcPr>
            <w:tcW w:w="2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квартал и в каждом случае изменения геологических условий забоя</w:t>
            </w:r>
          </w:p>
        </w:tc>
        <w:tc>
          <w:tcPr>
            <w:tcW w:w="2843" w:type="dxa"/>
            <w:tcBorders>
              <w:left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содержания зерен слабых пород в гравийной части балласта</w:t>
            </w:r>
          </w:p>
        </w:tc>
        <w:tc>
          <w:tcPr>
            <w:tcW w:w="2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Одни раз в год и в каждом случае изменения геологических условий забоя</w:t>
            </w:r>
          </w:p>
        </w:tc>
        <w:tc>
          <w:tcPr>
            <w:tcW w:w="2843" w:type="dxa"/>
            <w:tcBorders>
              <w:left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содержания кварцевых зерен и зерен прочных изверженных и метаморфических горных пород в песчаной части балласта</w:t>
            </w:r>
          </w:p>
        </w:tc>
        <w:tc>
          <w:tcPr>
            <w:tcW w:w="2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геологоразведочных работах</w:t>
            </w:r>
          </w:p>
        </w:tc>
        <w:tc>
          <w:tcPr>
            <w:tcW w:w="2843" w:type="dxa"/>
            <w:tcBorders>
              <w:left w:val="nil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суммарной удельной эффективной активности естественных радионуклидов</w:t>
            </w:r>
          </w:p>
        </w:tc>
        <w:tc>
          <w:tcPr>
            <w:tcW w:w="2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 и</w:t>
            </w:r>
            <w:r>
              <w:rPr>
                <w:rFonts w:ascii="Times New Roman" w:hAnsi="Times New Roman"/>
              </w:rPr>
              <w:t xml:space="preserve"> в каждом случае изменения геологических условий</w:t>
            </w:r>
          </w:p>
        </w:tc>
        <w:tc>
          <w:tcPr>
            <w:tcW w:w="284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55D25">
            <w:pPr>
              <w:pStyle w:val="Aioiaue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(Измененная редакция, Изм. № 1)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ind w:firstLine="284"/>
        <w:jc w:val="both"/>
      </w:pPr>
      <w:r>
        <w:t>2.4. Для приемочного контроля качества балласта в карьере отбирают точечные пробы из борозды, проведенной в стенке забоя вертикально от бровки забоя до его основания. Сечение борозды 10х20 или 15х20 см в зависимости от крупности материала. В борозде отбираются 5 точечных проб равномерно по высоте забоя от бровки до его подошвы. Отобранные из борозды точечные пробы объединяют в среднюю пробу и хорошо перемешивают. Средняя</w:t>
      </w:r>
      <w:r>
        <w:t xml:space="preserve"> проба должна не менее чем в четыре раза превышать массу, указанную в табл.2.</w:t>
      </w:r>
    </w:p>
    <w:p w:rsidR="00000000" w:rsidRDefault="00155D25">
      <w:pPr>
        <w:ind w:firstLine="284"/>
        <w:jc w:val="both"/>
      </w:pPr>
      <w:r>
        <w:t>При определении качества балласта, добытого и уложенного способом гидромеханизации, карту намыва разделяют в плане на однородные по крупности и по условиям намыва зоны объемом не более 500м</w:t>
      </w:r>
      <w:r>
        <w:rPr>
          <w:vertAlign w:val="superscript"/>
        </w:rPr>
        <w:t>3</w:t>
      </w:r>
      <w:r>
        <w:t xml:space="preserve"> каждая. От каждой зоны отбирают не менее пяти точечных проб из разных мест. Масса точечной пробы должна быть не менее 50 кг.</w:t>
      </w:r>
    </w:p>
    <w:p w:rsidR="00000000" w:rsidRDefault="00155D25">
      <w:pPr>
        <w:ind w:firstLine="284"/>
        <w:jc w:val="both"/>
      </w:pPr>
      <w:r>
        <w:t>Качество балласта оценивают для каждой зоны отдельно по результатам испытания отобранной от нее средней пробы.</w:t>
      </w:r>
    </w:p>
    <w:p w:rsidR="00000000" w:rsidRDefault="00155D25">
      <w:pPr>
        <w:ind w:firstLine="284"/>
        <w:jc w:val="both"/>
      </w:pPr>
      <w:r>
        <w:t>Среднюю</w:t>
      </w:r>
      <w:r>
        <w:t xml:space="preserve"> пробу балласта перед отправкой в лабораторию сокращают до массы, примерно в 2 раза превышающей указанную в табл.2. Сокращение средней пробы производят методом квартования по ГОСТ 8735-88.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(Измененная редакция, Изм. № 1)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ind w:firstLine="284"/>
        <w:jc w:val="both"/>
      </w:pPr>
      <w:r>
        <w:t>2.5. Потребитель проводит контрольную проверку соответствия отгружаемого балласта требованиям настоящего стандарта, соблюдая при этом приведенный ниже порядок:</w:t>
      </w:r>
    </w:p>
    <w:p w:rsidR="00000000" w:rsidRDefault="00155D25">
      <w:pPr>
        <w:ind w:firstLine="284"/>
        <w:jc w:val="both"/>
      </w:pPr>
      <w:r>
        <w:t>для испытаний балласта проводят отбор точечных проб, из которых путем объединения получают контрольную пробу;</w:t>
      </w:r>
    </w:p>
    <w:p w:rsidR="00000000" w:rsidRDefault="00155D25">
      <w:pPr>
        <w:ind w:firstLine="284"/>
        <w:jc w:val="both"/>
      </w:pPr>
      <w:r>
        <w:t>при контрольной про</w:t>
      </w:r>
      <w:r>
        <w:t>верке качества балласта, поставляемого железнодорожным транспортом, точечные пробы отбирают при размере партии до трех вагонов из каждого вагона, при большем размере партии - из любых трех вагонов. Каждую точечную пробу отбирают из пяти разных мест вагона (в четырех углах и в центре);</w:t>
      </w:r>
    </w:p>
    <w:p w:rsidR="00000000" w:rsidRDefault="00155D25">
      <w:pPr>
        <w:ind w:firstLine="284"/>
        <w:jc w:val="both"/>
      </w:pPr>
      <w:r>
        <w:t>при контрольной проверке качества балласта, поставляемого автомобильным транспортом, от каждой партии объемом не более 350 м</w:t>
      </w:r>
      <w:r>
        <w:rPr>
          <w:vertAlign w:val="superscript"/>
        </w:rPr>
        <w:t>3</w:t>
      </w:r>
      <w:r>
        <w:t xml:space="preserve"> отбирают точечные пробы не менее чем из пяти автомобилей. Каждую точечную пробу отбирают в центре ку</w:t>
      </w:r>
      <w:r>
        <w:t>зова автомобиля.</w:t>
      </w:r>
    </w:p>
    <w:p w:rsidR="00000000" w:rsidRDefault="00155D25">
      <w:pPr>
        <w:ind w:firstLine="284"/>
        <w:jc w:val="both"/>
      </w:pPr>
      <w:r>
        <w:t>Масса контрольной пробы, отбираемой для проверки партии, должна не менее чем в 5 раз превышать суммарную массу проб для испытаний, указанных в табл.2.</w:t>
      </w:r>
    </w:p>
    <w:p w:rsidR="00000000" w:rsidRDefault="00155D25">
      <w:pPr>
        <w:ind w:firstLine="284"/>
        <w:jc w:val="both"/>
      </w:pPr>
      <w:r>
        <w:t>Сокращение проб до размера, требуемого для испытаний, производят методом квартования или с помощью желобчатого делителя по методике, приведенной в ГОСТ 8269.0-97.</w:t>
      </w:r>
    </w:p>
    <w:p w:rsidR="00000000" w:rsidRDefault="00155D25">
      <w:pPr>
        <w:ind w:firstLine="284"/>
        <w:jc w:val="both"/>
      </w:pPr>
      <w:r>
        <w:t>В качестве результата принимают среднее арифметическое значение параллельных испытаний, предусмотренных для соответствующего метода. Зерновой состав оценивают по средним значениям р</w:t>
      </w:r>
      <w:r>
        <w:t>езультатов трех параллельных испытаний.</w:t>
      </w:r>
    </w:p>
    <w:p w:rsidR="00000000" w:rsidRDefault="00155D25">
      <w:pPr>
        <w:ind w:firstLine="284"/>
        <w:jc w:val="both"/>
      </w:pPr>
      <w:r>
        <w:t>При неудовлетворительных результатах испытаний хотя бы по одному из показателей по нему проводят повторное испытание. Результат повторного испытания является окончательным.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(Измененная редакция, Изм. № 1)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3. МЕТОДЫ ИСПЫТАНИЙ</w:t>
      </w:r>
    </w:p>
    <w:p w:rsidR="00000000" w:rsidRDefault="00155D25">
      <w:pPr>
        <w:ind w:firstLine="284"/>
        <w:jc w:val="both"/>
      </w:pPr>
    </w:p>
    <w:p w:rsidR="00000000" w:rsidRDefault="00155D25">
      <w:pPr>
        <w:ind w:firstLine="284"/>
        <w:jc w:val="both"/>
      </w:pPr>
      <w:r>
        <w:t>3.1. Испытания балласта для определения зернового состава и содержания в нем частиц размером менее 0,16 мм, содержания зерен слабых пород, пылевидных и глинистых частиц проводят по ГОСТ 8269.0-97.</w:t>
      </w:r>
    </w:p>
    <w:p w:rsidR="00000000" w:rsidRDefault="00155D25">
      <w:pPr>
        <w:ind w:firstLine="284"/>
        <w:jc w:val="both"/>
      </w:pPr>
      <w:r>
        <w:t>Пробы при определении зернового состава балласт</w:t>
      </w:r>
      <w:r>
        <w:t>а просеивают на ситах с отверстиями размером 0,16; 0,63; 5,0; 25,0; 60,0 мм, содержание зерен размерами более 100 мм определяют с помощью кольца-калибра диаметром 100 мм.</w:t>
      </w:r>
    </w:p>
    <w:p w:rsidR="00000000" w:rsidRDefault="00155D25">
      <w:pPr>
        <w:ind w:firstLine="284"/>
        <w:jc w:val="both"/>
      </w:pPr>
      <w:r>
        <w:t>Определение количества пылевидных и глинистых частиц в балласте производят методом отмучивания.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(Измененная редакция, Изм. № 1)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ind w:firstLine="284"/>
        <w:jc w:val="both"/>
      </w:pPr>
      <w:r>
        <w:t>3.2. Содержание кварцевых зерен и зерен прочных изверженных и метаморфических горных пород определяют по ГОСТ 8735-88.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(Измененная редакция, Изм. № 1)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ind w:firstLine="284"/>
        <w:jc w:val="both"/>
      </w:pPr>
      <w:r>
        <w:t>3.3. Суммарную удельную эффективную активность естественны</w:t>
      </w:r>
      <w:r>
        <w:t xml:space="preserve">х радионуклидов определяют гамма=спектрометрическим методом по ГОСТ 30108-94. При этом в гравийно-песчаном балласте испытания проводят отдельно для гравийной и песчаной составляющих. За результат принимают средневзвешенное значение </w:t>
      </w:r>
      <w:r>
        <w:rPr>
          <w:position w:val="-14"/>
        </w:rPr>
        <w:object w:dxaOrig="480" w:dyaOrig="340">
          <v:shape id="_x0000_i1028" type="#_x0000_t75" style="width:24pt;height:17.25pt" o:ole="">
            <v:imagedata r:id="rId8" o:title=""/>
          </v:shape>
          <o:OLEObject Type="Embed" ProgID="Equation.3" ShapeID="_x0000_i1028" DrawAspect="Content" ObjectID="_1427203001" r:id="rId9"/>
        </w:object>
      </w:r>
      <w:r>
        <w:t xml:space="preserve"> определяемое по формуле:</w:t>
      </w:r>
    </w:p>
    <w:p w:rsidR="00000000" w:rsidRDefault="00155D25">
      <w:pPr>
        <w:ind w:firstLine="284"/>
        <w:jc w:val="right"/>
      </w:pPr>
      <w:r>
        <w:rPr>
          <w:position w:val="-26"/>
        </w:rPr>
        <w:object w:dxaOrig="2520" w:dyaOrig="639">
          <v:shape id="_x0000_i1029" type="#_x0000_t75" style="width:126pt;height:32.25pt" o:ole="">
            <v:imagedata r:id="rId10" o:title=""/>
          </v:shape>
          <o:OLEObject Type="Embed" ProgID="Equation.3" ShapeID="_x0000_i1029" DrawAspect="Content" ObjectID="_1427203002" r:id="rId11"/>
        </w:object>
      </w:r>
      <w:r>
        <w:t>,                                                   (1)</w:t>
      </w:r>
    </w:p>
    <w:p w:rsidR="00000000" w:rsidRDefault="00155D25">
      <w:pPr>
        <w:pStyle w:val="Aioiaue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position w:val="-14"/>
        </w:rPr>
        <w:object w:dxaOrig="520" w:dyaOrig="340">
          <v:shape id="_x0000_i1030" type="#_x0000_t75" style="width:26.25pt;height:17.25pt" o:ole="">
            <v:imagedata r:id="rId12" o:title=""/>
          </v:shape>
          <o:OLEObject Type="Embed" ProgID="Equation.3" ShapeID="_x0000_i1030" DrawAspect="Content" ObjectID="_1427203003" r:id="rId13"/>
        </w:objec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position w:val="-14"/>
        </w:rPr>
        <w:object w:dxaOrig="560" w:dyaOrig="340">
          <v:shape id="_x0000_i1031" type="#_x0000_t75" style="width:27.75pt;height:17.25pt" o:ole="">
            <v:imagedata r:id="rId14" o:title=""/>
          </v:shape>
          <o:OLEObject Type="Embed" ProgID="Equation.3" ShapeID="_x0000_i1031" DrawAspect="Content" ObjectID="_1427203004" r:id="rId15"/>
        </w:object>
      </w:r>
      <w:r>
        <w:rPr>
          <w:rFonts w:ascii="Times New Roman" w:hAnsi="Times New Roman"/>
        </w:rPr>
        <w:t xml:space="preserve"> - значения суммарной удельной эффективной активности естественных радионуклидов соответственно в г</w:t>
      </w:r>
      <w:r>
        <w:rPr>
          <w:rFonts w:ascii="Times New Roman" w:hAnsi="Times New Roman"/>
        </w:rPr>
        <w:t>равийной и песчаной составляющих балласта, Бк/кг;</w:t>
      </w:r>
    </w:p>
    <w:p w:rsidR="00000000" w:rsidRDefault="00155D25">
      <w:pPr>
        <w:pStyle w:val="Aioiaue"/>
        <w:tabs>
          <w:tab w:val="clear" w:pos="9590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- содержание в смеси гравия и песка соответственной, % по массе.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(Введен дополнительно, Изм. № 1)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  <w:r>
        <w:rPr>
          <w:sz w:val="20"/>
        </w:rPr>
        <w:t>4. ТРАНСПОРТИРОВАНИЕ И ХРАНЕНИЕ</w:t>
      </w:r>
    </w:p>
    <w:p w:rsidR="00000000" w:rsidRDefault="00155D25">
      <w:pPr>
        <w:pStyle w:val="H3"/>
        <w:spacing w:before="0" w:after="0"/>
        <w:ind w:firstLine="284"/>
        <w:jc w:val="center"/>
        <w:rPr>
          <w:sz w:val="20"/>
        </w:rPr>
      </w:pPr>
    </w:p>
    <w:p w:rsidR="00000000" w:rsidRDefault="00155D25">
      <w:pPr>
        <w:ind w:firstLine="284"/>
        <w:jc w:val="both"/>
      </w:pPr>
      <w:r>
        <w:t>4.1. Каждая партия отгружаемого балласта должна сопровождаться документом о качестве, в котором указывают:</w:t>
      </w:r>
    </w:p>
    <w:p w:rsidR="00000000" w:rsidRDefault="00155D25">
      <w:pPr>
        <w:ind w:firstLine="284"/>
        <w:jc w:val="both"/>
      </w:pPr>
      <w:r>
        <w:t>номер и дату выдачи паспорта;</w:t>
      </w:r>
    </w:p>
    <w:p w:rsidR="00000000" w:rsidRDefault="00155D25">
      <w:pPr>
        <w:ind w:firstLine="284"/>
        <w:jc w:val="both"/>
      </w:pPr>
      <w:r>
        <w:t>наименование карьера-поставщика и его адрес;</w:t>
      </w:r>
    </w:p>
    <w:p w:rsidR="00000000" w:rsidRDefault="00155D25">
      <w:pPr>
        <w:ind w:firstLine="284"/>
        <w:jc w:val="both"/>
      </w:pPr>
      <w:r>
        <w:t>наименование получателя и его адрес;</w:t>
      </w:r>
    </w:p>
    <w:p w:rsidR="00000000" w:rsidRDefault="00155D25">
      <w:pPr>
        <w:ind w:firstLine="284"/>
        <w:jc w:val="both"/>
      </w:pPr>
      <w:r>
        <w:t>номера вагонов, накладных и количество отгружаемого балласта;</w:t>
      </w:r>
    </w:p>
    <w:p w:rsidR="00000000" w:rsidRDefault="00155D25">
      <w:pPr>
        <w:ind w:firstLine="284"/>
        <w:jc w:val="both"/>
      </w:pPr>
      <w:r>
        <w:t>вид балласта (гравийный или гравийно-песч</w:t>
      </w:r>
      <w:r>
        <w:t>аный);</w:t>
      </w:r>
    </w:p>
    <w:p w:rsidR="00000000" w:rsidRDefault="00155D25">
      <w:pPr>
        <w:ind w:firstLine="284"/>
        <w:jc w:val="both"/>
      </w:pPr>
      <w:r>
        <w:t>зерновой состав;</w:t>
      </w:r>
    </w:p>
    <w:p w:rsidR="00000000" w:rsidRDefault="00155D25">
      <w:pPr>
        <w:ind w:firstLine="284"/>
        <w:jc w:val="both"/>
      </w:pPr>
      <w:r>
        <w:t>содержание зерен слабых пород;</w:t>
      </w:r>
    </w:p>
    <w:p w:rsidR="00000000" w:rsidRDefault="00155D25">
      <w:pPr>
        <w:ind w:firstLine="284"/>
        <w:jc w:val="both"/>
      </w:pPr>
      <w:r>
        <w:t>содержание кварцевых зерен и зерен прочных изверженных и метаморфических пород;</w:t>
      </w:r>
    </w:p>
    <w:p w:rsidR="00000000" w:rsidRDefault="00155D25">
      <w:pPr>
        <w:ind w:firstLine="284"/>
        <w:jc w:val="both"/>
      </w:pPr>
      <w:r>
        <w:t>содержание пылевидных и глинистых частиц;</w:t>
      </w:r>
    </w:p>
    <w:p w:rsidR="00000000" w:rsidRDefault="00155D25">
      <w:pPr>
        <w:ind w:firstLine="284"/>
        <w:jc w:val="both"/>
      </w:pPr>
      <w:r>
        <w:t>номер настоящего стандарта;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суммарную удельную эффективную активность естественных радионуклидов.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(Измененная редакция, Изм. № 1)</w:t>
      </w:r>
    </w:p>
    <w:p w:rsidR="00000000" w:rsidRDefault="00155D25">
      <w:pPr>
        <w:pStyle w:val="Aioiaue"/>
        <w:tabs>
          <w:tab w:val="clear" w:pos="9590"/>
        </w:tabs>
        <w:ind w:firstLine="284"/>
        <w:rPr>
          <w:rFonts w:ascii="Times New Roman" w:hAnsi="Times New Roman"/>
        </w:rPr>
      </w:pPr>
    </w:p>
    <w:p w:rsidR="00000000" w:rsidRDefault="00155D25">
      <w:pPr>
        <w:ind w:firstLine="284"/>
        <w:jc w:val="both"/>
      </w:pPr>
      <w:r>
        <w:t>4.2. Балласт транспортируют в открытых железнодорожных вагонах, а также в автомобилях в соответствии с утвержденными в установленном порядке правилами перевозки грузов соответствующим видом транспорта.</w:t>
      </w:r>
    </w:p>
    <w:p w:rsidR="00000000" w:rsidRDefault="00155D25">
      <w:pPr>
        <w:ind w:firstLine="284"/>
        <w:jc w:val="both"/>
      </w:pPr>
      <w:r>
        <w:t>П</w:t>
      </w:r>
      <w:r>
        <w:t>ри перевозке железнодорожным транспортом должно быть обеспечено также выполнение Технических условий погрузки и крепления грузов, утвержденных Министерством путей сообщения.</w:t>
      </w:r>
    </w:p>
    <w:p w:rsidR="00000000" w:rsidRDefault="00155D25">
      <w:pPr>
        <w:ind w:firstLine="284"/>
        <w:jc w:val="both"/>
      </w:pPr>
      <w:r>
        <w:t>4.3. При перевозке должны соблюдаться меры, обеспечивающие предохранение балласта от загрязнения.</w:t>
      </w:r>
    </w:p>
    <w:p w:rsidR="00000000" w:rsidRDefault="00155D25">
      <w:pPr>
        <w:ind w:firstLine="284"/>
        <w:jc w:val="both"/>
      </w:pPr>
      <w:r>
        <w:t>4.4. Гравийный и гравийно-песчаный балласт транспортируют и хранят в условиях, предохраняющих их от загрязнения.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D25"/>
    <w:rsid w:val="0015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1624</Words>
  <Characters>9257</Characters>
  <Application>Microsoft Office Word</Application>
  <DocSecurity>0</DocSecurity>
  <Lines>77</Lines>
  <Paragraphs>21</Paragraphs>
  <ScaleCrop>false</ScaleCrop>
  <Company> 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7394-85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