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44E7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8242-88  </w:t>
      </w:r>
    </w:p>
    <w:p w:rsidR="00000000" w:rsidRDefault="00DC44E7">
      <w:pPr>
        <w:jc w:val="right"/>
        <w:rPr>
          <w:rFonts w:ascii="Times New Roman" w:hAnsi="Times New Roman"/>
          <w:sz w:val="20"/>
        </w:rPr>
      </w:pPr>
    </w:p>
    <w:p w:rsidR="00000000" w:rsidRDefault="00DC44E7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624.011.1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       Группа Ж32</w:t>
      </w:r>
    </w:p>
    <w:p w:rsidR="00000000" w:rsidRDefault="00DC44E7">
      <w:pPr>
        <w:pStyle w:val="Heading"/>
        <w:jc w:val="center"/>
        <w:rPr>
          <w:rFonts w:ascii="Times New Roman" w:hAnsi="Times New Roman"/>
          <w:b w:val="0"/>
          <w:sz w:val="20"/>
        </w:rPr>
      </w:pP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Детали профильные из древесины и древесных</w:t>
      </w: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материалов для строительств</w:t>
      </w:r>
      <w:r>
        <w:rPr>
          <w:rFonts w:ascii="Times New Roman" w:hAnsi="Times New Roman"/>
          <w:sz w:val="20"/>
        </w:rPr>
        <w:t>а</w:t>
      </w: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Profiled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details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from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wood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wood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materials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44E7">
      <w:pPr>
        <w:ind w:firstLine="90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 xml:space="preserve"> 53 6170 </w:t>
      </w:r>
    </w:p>
    <w:p w:rsidR="00000000" w:rsidRDefault="00DC44E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1989-01-01 </w:t>
      </w:r>
    </w:p>
    <w:p w:rsidR="00000000" w:rsidRDefault="00DC44E7">
      <w:pPr>
        <w:pStyle w:val="Preformat"/>
        <w:rPr>
          <w:rFonts w:ascii="Times New Roman" w:hAnsi="Times New Roman"/>
        </w:rPr>
      </w:pP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лесной промышленности СССР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В. В. Кислый,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 (руководитель темы); А. В. </w:t>
      </w:r>
      <w:proofErr w:type="spellStart"/>
      <w:r>
        <w:rPr>
          <w:rFonts w:ascii="Times New Roman" w:hAnsi="Times New Roman"/>
          <w:sz w:val="20"/>
        </w:rPr>
        <w:t>Крюкова</w:t>
      </w:r>
      <w:proofErr w:type="spellEnd"/>
      <w:r>
        <w:rPr>
          <w:rFonts w:ascii="Times New Roman" w:hAnsi="Times New Roman"/>
          <w:sz w:val="20"/>
        </w:rPr>
        <w:t xml:space="preserve">; Т. С. </w:t>
      </w:r>
      <w:proofErr w:type="spellStart"/>
      <w:r>
        <w:rPr>
          <w:rFonts w:ascii="Times New Roman" w:hAnsi="Times New Roman"/>
          <w:sz w:val="20"/>
        </w:rPr>
        <w:t>Сластенко</w:t>
      </w:r>
      <w:proofErr w:type="spellEnd"/>
      <w:r>
        <w:rPr>
          <w:rFonts w:ascii="Times New Roman" w:hAnsi="Times New Roman"/>
          <w:sz w:val="20"/>
        </w:rPr>
        <w:t xml:space="preserve">; А. В. Ткаченко; Н. А. </w:t>
      </w:r>
      <w:proofErr w:type="spellStart"/>
      <w:r>
        <w:rPr>
          <w:rFonts w:ascii="Times New Roman" w:hAnsi="Times New Roman"/>
          <w:sz w:val="20"/>
        </w:rPr>
        <w:t>Андрианов</w:t>
      </w:r>
      <w:proofErr w:type="spellEnd"/>
      <w:r>
        <w:rPr>
          <w:rFonts w:ascii="Times New Roman" w:hAnsi="Times New Roman"/>
          <w:sz w:val="20"/>
        </w:rPr>
        <w:t>; Н. Б. Жуковская; В. С. Серебряков; Г. В. Левушкин; Н. В. Шведов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УТВЕРЖДЕН И ВВЕДЕН В ДЕЙСТВИЕ постановлением Государственного строительного комитета </w:t>
      </w:r>
      <w:r>
        <w:rPr>
          <w:rFonts w:ascii="Times New Roman" w:hAnsi="Times New Roman"/>
          <w:sz w:val="20"/>
        </w:rPr>
        <w:t xml:space="preserve">СССР от 15.08.88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163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8242-75, ГОСТ 17280-79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9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</w:rPr>
              <w:t>НТД</w:t>
            </w:r>
            <w:proofErr w:type="spellEnd"/>
            <w:r>
              <w:rPr>
                <w:rFonts w:ascii="Times New Roman" w:hAnsi="Times New Roman"/>
              </w:rPr>
              <w:t>, на который дана ссылка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162-90</w:t>
            </w:r>
          </w:p>
        </w:tc>
        <w:tc>
          <w:tcPr>
            <w:tcW w:w="1917" w:type="dxa"/>
            <w:tcBorders>
              <w:top w:val="nil"/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166-89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427-75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515-77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2140-81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2.2.1, 4.3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3560-73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3749-77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7016-82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7502-80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8026-92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8925-68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14192-77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15140-78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2.2.12, 4.11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15612-85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15613.1-84</w:t>
            </w:r>
          </w:p>
        </w:tc>
        <w:tc>
          <w:tcPr>
            <w:tcW w:w="1917" w:type="dxa"/>
            <w:tcBorders>
              <w:left w:val="nil"/>
              <w:bottom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15613.4-78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15867-79</w:t>
            </w:r>
          </w:p>
        </w:tc>
        <w:tc>
          <w:tcPr>
            <w:tcW w:w="1917" w:type="dxa"/>
            <w:tcBorders>
              <w:top w:val="nil"/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15876-9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16588-91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17005-82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17617-72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18321-73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21100-93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23616-79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24404-80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2.2.11, 4.9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ГОСТ 25885-83</w:t>
            </w:r>
          </w:p>
        </w:tc>
        <w:tc>
          <w:tcPr>
            <w:tcW w:w="1917" w:type="dxa"/>
            <w:tcBorders>
              <w:left w:val="nil"/>
            </w:tcBorders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</w:tr>
    </w:tbl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Внесена  Поправка, </w:t>
      </w:r>
      <w:proofErr w:type="spellStart"/>
      <w:r>
        <w:rPr>
          <w:rFonts w:ascii="Times New Roman" w:hAnsi="Times New Roman"/>
          <w:sz w:val="20"/>
        </w:rPr>
        <w:t>ИУС</w:t>
      </w:r>
      <w:proofErr w:type="spellEnd"/>
      <w:r>
        <w:rPr>
          <w:rFonts w:ascii="Times New Roman" w:hAnsi="Times New Roman"/>
          <w:sz w:val="20"/>
        </w:rPr>
        <w:t xml:space="preserve"> № 4 1991 г.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профильные детали из древесины и древесных материалов для строительства (далее - детали): доски и бруски для покрытия полов, подоконные доски, плинтусы, наличники, поручни и обшивки.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Основные параметры и размеры</w:t>
      </w: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Номинальные размеры попер</w:t>
      </w:r>
      <w:r>
        <w:rPr>
          <w:rFonts w:ascii="Times New Roman" w:hAnsi="Times New Roman"/>
          <w:sz w:val="20"/>
        </w:rPr>
        <w:t>ечного сечения деталей, их марки и материал должны соответствовать указанным в табл. 1.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Длины деталей устанавливают по спецификации по согласованию изготовителя с потребителем с прирезкой по длине под углом 90 или 45°.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отсутствии спецификации детали изготовляют следующих длин, мм:</w:t>
      </w:r>
    </w:p>
    <w:p w:rsidR="00000000" w:rsidRDefault="00DC44E7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5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подоконные доски</w:t>
            </w:r>
          </w:p>
        </w:tc>
        <w:tc>
          <w:tcPr>
            <w:tcW w:w="5387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 850,  1000, 1300, 1450, 1600, 1900, 2200, 2500, 2800 (размеры рекомендуемые)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остальные детали</w:t>
            </w:r>
          </w:p>
        </w:tc>
        <w:tc>
          <w:tcPr>
            <w:tcW w:w="5387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2100 и более</w:t>
            </w:r>
          </w:p>
        </w:tc>
      </w:tr>
    </w:tbl>
    <w:p w:rsidR="00000000" w:rsidRDefault="00DC44E7">
      <w:pPr>
        <w:pStyle w:val="Preformat"/>
        <w:rPr>
          <w:rFonts w:ascii="Times New Roman" w:hAnsi="Times New Roman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Предельные отклонения от номинальных. размеров деталей не должны быть более</w:t>
      </w:r>
      <w:r>
        <w:rPr>
          <w:rFonts w:ascii="Times New Roman" w:hAnsi="Times New Roman"/>
          <w:sz w:val="20"/>
        </w:rPr>
        <w:t>, мм: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9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длине</w:t>
            </w:r>
          </w:p>
        </w:tc>
        <w:tc>
          <w:tcPr>
            <w:tcW w:w="3902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±3,0 (для прирезанных деталей)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ширине</w:t>
            </w:r>
          </w:p>
        </w:tc>
        <w:tc>
          <w:tcPr>
            <w:tcW w:w="3902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толщине</w:t>
            </w:r>
          </w:p>
        </w:tc>
        <w:tc>
          <w:tcPr>
            <w:tcW w:w="3902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высоте паза и четверти</w:t>
            </w:r>
          </w:p>
        </w:tc>
        <w:tc>
          <w:tcPr>
            <w:tcW w:w="3902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02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толщине и ширине гребня и четверти</w:t>
            </w:r>
          </w:p>
        </w:tc>
        <w:tc>
          <w:tcPr>
            <w:tcW w:w="3902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02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остальным размерам сечений</w:t>
            </w:r>
          </w:p>
        </w:tc>
        <w:tc>
          <w:tcPr>
            <w:tcW w:w="3902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±1,0</w:t>
            </w:r>
          </w:p>
        </w:tc>
      </w:tr>
    </w:tbl>
    <w:p w:rsidR="00000000" w:rsidRDefault="00DC44E7">
      <w:pPr>
        <w:pStyle w:val="Preformat"/>
        <w:rPr>
          <w:rFonts w:ascii="Times New Roman" w:hAnsi="Times New Roman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Провесы на лицевых сторонах сопрягаемых деталей не должны превышать 1 мм.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Отклонение от перпендикулярности сторон деталей не должно быть более 1 мм на участке длиной 100 мм.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Отклонение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покоробленность</w:t>
      </w:r>
      <w:proofErr w:type="spellEnd"/>
      <w:r>
        <w:rPr>
          <w:rFonts w:ascii="Times New Roman" w:hAnsi="Times New Roman"/>
          <w:sz w:val="20"/>
        </w:rPr>
        <w:t>) не должно быть более: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00000" w:rsidRDefault="00DC44E7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для подоконных досок и поручней</w:t>
            </w:r>
          </w:p>
        </w:tc>
        <w:tc>
          <w:tcPr>
            <w:tcW w:w="3969" w:type="dxa"/>
          </w:tcPr>
          <w:p w:rsidR="00000000" w:rsidRDefault="00DC44E7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1,5 мм на 1 м длины и </w:t>
            </w:r>
            <w:r>
              <w:rPr>
                <w:rFonts w:ascii="Times New Roman" w:hAnsi="Times New Roman"/>
              </w:rPr>
              <w:t>1 мм по ширине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00000" w:rsidRDefault="00DC44E7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для досок пола</w:t>
            </w:r>
          </w:p>
        </w:tc>
        <w:tc>
          <w:tcPr>
            <w:tcW w:w="3969" w:type="dxa"/>
          </w:tcPr>
          <w:p w:rsidR="00000000" w:rsidRDefault="00DC44E7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3,0 мм на 1 м длины и 2 мм по ширине</w:t>
            </w:r>
          </w:p>
        </w:tc>
      </w:tr>
    </w:tbl>
    <w:p w:rsidR="00000000" w:rsidRDefault="00DC44E7">
      <w:pPr>
        <w:pStyle w:val="Preformat"/>
        <w:rPr>
          <w:rFonts w:ascii="Times New Roman" w:hAnsi="Times New Roman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плинтусов, наличников и обшивок </w:t>
      </w:r>
      <w:proofErr w:type="spellStart"/>
      <w:r>
        <w:rPr>
          <w:rFonts w:ascii="Times New Roman" w:hAnsi="Times New Roman"/>
          <w:sz w:val="20"/>
        </w:rPr>
        <w:t>откл</w:t>
      </w:r>
      <w:proofErr w:type="spellEnd"/>
      <w:r>
        <w:rPr>
          <w:rFonts w:ascii="Times New Roman" w:hAnsi="Times New Roman"/>
          <w:sz w:val="20"/>
        </w:rPr>
        <w:t xml:space="preserve">.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считают допустимым, если оно устраняется легким </w:t>
      </w:r>
      <w:proofErr w:type="spellStart"/>
      <w:r>
        <w:rPr>
          <w:rFonts w:ascii="Times New Roman" w:hAnsi="Times New Roman"/>
          <w:sz w:val="20"/>
        </w:rPr>
        <w:t>прижатием</w:t>
      </w:r>
      <w:proofErr w:type="spellEnd"/>
      <w:r>
        <w:rPr>
          <w:rFonts w:ascii="Times New Roman" w:hAnsi="Times New Roman"/>
          <w:sz w:val="20"/>
        </w:rPr>
        <w:t xml:space="preserve"> к ровной поверхности.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прямолинейности любой кромки детали по длине на 1 м длины не должно быть более: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поручней, подоконных досок и досок для покрытия пола шириной более 70 мм марки ДП-35</w:t>
            </w:r>
          </w:p>
        </w:tc>
        <w:tc>
          <w:tcPr>
            <w:tcW w:w="1417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деталей шириной более 70 мм</w:t>
            </w:r>
          </w:p>
        </w:tc>
        <w:tc>
          <w:tcPr>
            <w:tcW w:w="1417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плинтусов и наличников шириной менее 70 мм</w:t>
            </w:r>
          </w:p>
        </w:tc>
        <w:tc>
          <w:tcPr>
            <w:tcW w:w="1417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мм</w:t>
            </w:r>
          </w:p>
        </w:tc>
      </w:tr>
    </w:tbl>
    <w:p w:rsidR="00000000" w:rsidRDefault="00DC44E7">
      <w:pPr>
        <w:jc w:val="right"/>
        <w:rPr>
          <w:rFonts w:ascii="Times New Roman" w:hAnsi="Times New Roman"/>
          <w:vanish/>
          <w:sz w:val="20"/>
        </w:rPr>
      </w:pPr>
    </w:p>
    <w:p w:rsidR="00000000" w:rsidRDefault="00DC44E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DC44E7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0"/>
        <w:gridCol w:w="1110"/>
        <w:gridCol w:w="21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</w:t>
            </w:r>
            <w:r>
              <w:rPr>
                <w:rFonts w:ascii="Times New Roman" w:hAnsi="Times New Roman"/>
                <w:sz w:val="20"/>
              </w:rPr>
              <w:t>менование и номинальный размер сечения детали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детали</w:t>
            </w:r>
          </w:p>
        </w:tc>
        <w:tc>
          <w:tcPr>
            <w:tcW w:w="218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 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Доски для покрытия полов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5pt;height:108pt">
                  <v:imagedata r:id="rId4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ДП-21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Древесина хвойных и лиственных пород, кроме липы и тополя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231pt;height:124.5pt">
                  <v:imagedata r:id="rId5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ДП-27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Древесина хвойных и лиственных пород, кроме липы и тополя. Осина и ольха допускаются для жилых зданий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234.75pt;height:129pt">
                  <v:imagedata r:id="rId6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ДП-35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Древесина хвойных и лиственных пород, кроме липы, тополя, осины и ольхи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Бруски для покрытия полов</w: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243pt;height:124.5pt">
                  <v:imagedata r:id="rId7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БП-27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Древесина хвойных и лиственных пород, кроме липы и тополя. Осина и ольха допускаются для жилых зданий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 xml:space="preserve"> Плинтусы</w: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08.75pt;height:129.75pt">
                  <v:imagedata r:id="rId8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Пл-1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Древесина хвойных и лиственных пород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99.75pt;height:129pt">
                  <v:imagedata r:id="rId9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Пл-2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23pt;height:102pt">
                  <v:imagedata r:id="rId10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Пл-3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28.25pt;height:125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26.75pt;height:113.25pt">
                  <v:imagedata r:id="rId12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Пл-4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29pt;height:124.5pt">
                  <v:imagedata r:id="rId13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Пл-5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Древесина хвойных и лиственных пород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123.75pt;height:118.5pt">
                  <v:imagedata r:id="rId14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ПЛ-6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Наличники</w: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59pt;height:97.5pt">
                  <v:imagedata r:id="rId15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Н-1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36.5pt;height:94.5pt">
                  <v:imagedata r:id="rId16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Н-2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45.5pt;height:76.5pt">
                  <v:imagedata r:id="rId17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Н-3 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Твердая </w:t>
            </w:r>
            <w:proofErr w:type="spellStart"/>
            <w:r>
              <w:rPr>
                <w:rFonts w:ascii="Times New Roman" w:hAnsi="Times New Roman"/>
                <w:sz w:val="20"/>
              </w:rPr>
              <w:t>ДВП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25.25pt;height:76.5pt">
                  <v:imagedata r:id="rId18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Н-4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Склеенная из 2-3 слоев </w:t>
            </w:r>
            <w:proofErr w:type="spellStart"/>
            <w:r>
              <w:rPr>
                <w:rFonts w:ascii="Times New Roman" w:hAnsi="Times New Roman"/>
                <w:sz w:val="20"/>
              </w:rPr>
              <w:t>ДВП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32pt;height:82.5pt">
                  <v:imagedata r:id="rId19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Н-5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ДСП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150.75pt;height:92.25pt">
                  <v:imagedata r:id="rId20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Н-6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Прессованная древесностружечная масса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Поручни</w: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34.25pt;height:91.5pt">
                  <v:imagedata r:id="rId21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П-1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Древесина хвойных и лиственных пород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27.5pt;height:131.25pt">
                  <v:imagedata r:id="rId22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П-2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Обшивка</w: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44" type="#_x0000_t75" style="width:150.75pt;height:82.5pt">
                  <v:imagedata r:id="rId23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О-1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Древесина хвойных пород и осина для наружной обшивки Древесина хвойных и лиственных пород для внутренней обшивки </w:t>
            </w:r>
          </w:p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47pt;height:184.5pt">
                  <v:imagedata r:id="rId24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О-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168.75pt;height:194.25pt">
                  <v:imagedata r:id="rId25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О-3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208.5pt;height:138pt">
                  <v:imagedata r:id="rId26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О-4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Древесина хвойных пород и осина для наружной обшивки Древесина хвойных и лиственных пород для внутренней обшивки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7.   Подоконные доски</w: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92.75pt;height:175.5pt">
                  <v:imagedata r:id="rId27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ПД-1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Древесина хвойных пород   Не допускается смешивать породы в одной подоконной доске, кроме сосны, ели, пихты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183pt;height:110.25pt">
                  <v:imagedata r:id="rId28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ПД-2</w:t>
            </w:r>
          </w:p>
        </w:tc>
        <w:tc>
          <w:tcPr>
            <w:tcW w:w="2184" w:type="dxa"/>
            <w:tcBorders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Цементностружечная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77.75pt;height:107.25pt">
                  <v:imagedata r:id="rId29" o:title=""/>
                </v:shape>
              </w:pict>
            </w: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ПД-3</w:t>
            </w:r>
          </w:p>
        </w:tc>
        <w:tc>
          <w:tcPr>
            <w:tcW w:w="218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Древесина хвойных пород, сверхтвердая </w:t>
            </w:r>
            <w:proofErr w:type="spellStart"/>
            <w:r>
              <w:rPr>
                <w:rFonts w:ascii="Times New Roman" w:hAnsi="Times New Roman"/>
                <w:sz w:val="20"/>
              </w:rPr>
              <w:t>ДВП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мокрого способа производства или водостойкая фанера</w:t>
            </w:r>
          </w:p>
        </w:tc>
      </w:tr>
    </w:tbl>
    <w:p w:rsidR="00000000" w:rsidRDefault="00DC44E7">
      <w:pPr>
        <w:jc w:val="right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Неуказанные радиусы сечений деталей должны быть 5 мм, фаски 2х45° или 2х30°. Для</w:t>
      </w:r>
      <w:r>
        <w:rPr>
          <w:rFonts w:ascii="Times New Roman" w:hAnsi="Times New Roman"/>
          <w:sz w:val="20"/>
        </w:rPr>
        <w:t xml:space="preserve"> обшивки марки О-3 толщиной 16 мм размер от нижней </w:t>
      </w:r>
      <w:proofErr w:type="spellStart"/>
      <w:r>
        <w:rPr>
          <w:rFonts w:ascii="Times New Roman" w:hAnsi="Times New Roman"/>
          <w:sz w:val="20"/>
        </w:rPr>
        <w:t>пласти</w:t>
      </w:r>
      <w:proofErr w:type="spellEnd"/>
      <w:r>
        <w:rPr>
          <w:rFonts w:ascii="Times New Roman" w:hAnsi="Times New Roman"/>
          <w:sz w:val="20"/>
        </w:rPr>
        <w:t xml:space="preserve"> до гребня увеличивают на 3 мм.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Наличники марок Н-3, Н-4, Н-5, Н-6 изготовляют по согласованию с потребителем.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Доски для покрытия полов марки ДП-21 применяют для жилых зданий, марки ДП-35 - для производственных зданий, физкультурных залов и др. помещений с повышенной нагрузкой на полы. При настиле досок для покрытия полов марки ДП-21 расстояние между лагами должно быть не более 300 мм.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Подоконные доски, за исключением марки ПД-2, изготавливаю</w:t>
      </w:r>
      <w:r>
        <w:rPr>
          <w:rFonts w:ascii="Times New Roman" w:hAnsi="Times New Roman"/>
          <w:sz w:val="20"/>
        </w:rPr>
        <w:t>т с фаской или закруглением по лицевой кромке. По требованию потребителей подоконные доски изготовляют с выбранными капельниками.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Подоконная доска марки ПД-3 должна изготовляться со сплошным заполнением.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 индивидуальных проектах жилых и общественных зданий, а также при реконструкции и ремонте допускается применение деталей других профилей.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en-US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1991</w:t>
      </w:r>
      <w:r>
        <w:rPr>
          <w:rFonts w:ascii="Times New Roman" w:hAnsi="Times New Roman"/>
          <w:b/>
          <w:sz w:val="20"/>
          <w:lang w:val="en-US"/>
        </w:rPr>
        <w:t>)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Условное обозначение должно состоять из марки детали, сечения, длины (для подоконных досок и деталей, прирезанных по длине</w:t>
      </w:r>
      <w:r>
        <w:rPr>
          <w:rFonts w:ascii="Times New Roman" w:hAnsi="Times New Roman"/>
          <w:sz w:val="20"/>
        </w:rPr>
        <w:t>) и обозначения настоящего стандарта.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условных обозначений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Доска для покрытия пола толщиной 21 мм и шириной </w:t>
      </w:r>
      <w:proofErr w:type="spellStart"/>
      <w:r>
        <w:rPr>
          <w:rFonts w:ascii="Times New Roman" w:hAnsi="Times New Roman"/>
          <w:sz w:val="20"/>
        </w:rPr>
        <w:t>пласти</w:t>
      </w:r>
      <w:proofErr w:type="spellEnd"/>
      <w:r>
        <w:rPr>
          <w:rFonts w:ascii="Times New Roman" w:hAnsi="Times New Roman"/>
          <w:sz w:val="20"/>
        </w:rPr>
        <w:t xml:space="preserve"> 64 мм, не прирезанная по длине:</w:t>
      </w:r>
    </w:p>
    <w:p w:rsidR="00000000" w:rsidRDefault="00DC44E7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ДП-21х64-ГОСТ 8242-88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Плинтус марки 1, прирезанный по длине на 2100 мм:</w:t>
      </w:r>
    </w:p>
    <w:p w:rsidR="00000000" w:rsidRDefault="00DC44E7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Пл-1-2100-ГОСТ 8242-88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Подоконная доска марки 1 толщиной 34 мм, шириной 300 мм, длиной 1450 мм:</w:t>
      </w:r>
    </w:p>
    <w:p w:rsidR="00000000" w:rsidRDefault="00DC44E7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ПД-1-34х300х1450-ГОСТ 8242-88 </w:t>
      </w: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Детали должны изготовляться в соответствии с требованиями настоящего стандарта по технологической документации, утвержденной </w:t>
      </w:r>
      <w:r>
        <w:rPr>
          <w:rFonts w:ascii="Times New Roman" w:hAnsi="Times New Roman"/>
          <w:sz w:val="20"/>
        </w:rPr>
        <w:t>в установленном порядке.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Характеристики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В древесине деталей не допускаются пороки, превышающие нормы, указанные в табл. 2.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DC44E7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830"/>
        <w:gridCol w:w="1830"/>
        <w:gridCol w:w="1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 ограничения в деталях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Порок  древесины и</w:t>
            </w:r>
          </w:p>
        </w:tc>
        <w:tc>
          <w:tcPr>
            <w:tcW w:w="365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лицевой поверхности</w:t>
            </w:r>
          </w:p>
        </w:tc>
        <w:tc>
          <w:tcPr>
            <w:tcW w:w="1830" w:type="dxa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0"/>
              </w:rPr>
              <w:t>нелицевой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обработки по ГОСТ 2140</w:t>
            </w:r>
          </w:p>
        </w:tc>
        <w:tc>
          <w:tcPr>
            <w:tcW w:w="183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 прозрачное покрытие</w:t>
            </w:r>
          </w:p>
        </w:tc>
        <w:tc>
          <w:tcPr>
            <w:tcW w:w="1830" w:type="dxa"/>
            <w:tcBorders>
              <w:left w:val="nil"/>
              <w:bottom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 непрозрачное покрытие</w:t>
            </w:r>
          </w:p>
        </w:tc>
        <w:tc>
          <w:tcPr>
            <w:tcW w:w="1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Сучки</w:t>
            </w:r>
          </w:p>
        </w:tc>
        <w:tc>
          <w:tcPr>
            <w:tcW w:w="5487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допускаются размером в долях стороны, </w:t>
            </w:r>
            <w:proofErr w:type="spellStart"/>
            <w:r>
              <w:rPr>
                <w:rFonts w:ascii="Times New Roman" w:hAnsi="Times New Roman"/>
                <w:sz w:val="20"/>
              </w:rPr>
              <w:t>пластевые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(первое число), ребровые (второе число)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87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1/3-1/4 (здоровые сросшиеся 1/2-1/4)</w:t>
            </w:r>
          </w:p>
        </w:tc>
        <w:tc>
          <w:tcPr>
            <w:tcW w:w="1830" w:type="dxa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1/2-1/4</w:t>
            </w:r>
          </w:p>
        </w:tc>
        <w:tc>
          <w:tcPr>
            <w:tcW w:w="1830" w:type="dxa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ограничиваются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Трещины нескво</w:t>
            </w:r>
            <w:r>
              <w:rPr>
                <w:rFonts w:ascii="Times New Roman" w:hAnsi="Times New Roman"/>
                <w:sz w:val="20"/>
              </w:rPr>
              <w:t>зные</w:t>
            </w:r>
          </w:p>
        </w:tc>
        <w:tc>
          <w:tcPr>
            <w:tcW w:w="5487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 суммарной длиной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1/6</w:t>
            </w:r>
          </w:p>
        </w:tc>
        <w:tc>
          <w:tcPr>
            <w:tcW w:w="3658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88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длины детали, шириной, мм,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58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88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глубиной (для торцевых трещин) в долях толщины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nil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1/5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1/4</w:t>
            </w:r>
          </w:p>
        </w:tc>
        <w:tc>
          <w:tcPr>
            <w:tcW w:w="1830" w:type="dxa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Грибные ядровые пятна, заболонные грибные и химические окраски, </w:t>
            </w:r>
            <w:proofErr w:type="spellStart"/>
            <w:r>
              <w:rPr>
                <w:rFonts w:ascii="Times New Roman" w:hAnsi="Times New Roman"/>
                <w:sz w:val="20"/>
              </w:rPr>
              <w:t>побурение</w:t>
            </w:r>
            <w:proofErr w:type="spellEnd"/>
            <w:r>
              <w:rPr>
                <w:rFonts w:ascii="Times New Roman" w:hAnsi="Times New Roman"/>
                <w:sz w:val="20"/>
              </w:rPr>
              <w:t>, ложное ядро, засмолок</w:t>
            </w:r>
          </w:p>
        </w:tc>
        <w:tc>
          <w:tcPr>
            <w:tcW w:w="1830" w:type="dxa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</w:t>
            </w:r>
          </w:p>
        </w:tc>
        <w:tc>
          <w:tcPr>
            <w:tcW w:w="3658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ограничиваются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Кармашки и червоточины</w:t>
            </w:r>
          </w:p>
        </w:tc>
        <w:tc>
          <w:tcPr>
            <w:tcW w:w="1830" w:type="dxa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</w:t>
            </w:r>
          </w:p>
        </w:tc>
        <w:tc>
          <w:tcPr>
            <w:tcW w:w="3658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 шириной (диаметром) более 8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Вырыв, </w:t>
            </w:r>
            <w:proofErr w:type="spellStart"/>
            <w:r>
              <w:rPr>
                <w:rFonts w:ascii="Times New Roman" w:hAnsi="Times New Roman"/>
                <w:sz w:val="20"/>
              </w:rPr>
              <w:t>выхват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запил, вмятина, скол, задир, </w:t>
            </w:r>
            <w:proofErr w:type="spellStart"/>
            <w:r>
              <w:rPr>
                <w:rFonts w:ascii="Times New Roman" w:hAnsi="Times New Roman"/>
                <w:sz w:val="20"/>
              </w:rPr>
              <w:t>выщербина</w:t>
            </w:r>
            <w:proofErr w:type="spellEnd"/>
          </w:p>
        </w:tc>
        <w:tc>
          <w:tcPr>
            <w:tcW w:w="5488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 глубиной, мм,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nil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30" w:type="dxa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Гнили, острый </w:t>
            </w:r>
            <w:proofErr w:type="spellStart"/>
            <w:r>
              <w:rPr>
                <w:rFonts w:ascii="Times New Roman" w:hAnsi="Times New Roman"/>
                <w:sz w:val="20"/>
              </w:rPr>
              <w:t>обз</w:t>
            </w:r>
            <w:r>
              <w:rPr>
                <w:rFonts w:ascii="Times New Roman" w:hAnsi="Times New Roman"/>
                <w:sz w:val="20"/>
              </w:rPr>
              <w:t>ол</w:t>
            </w:r>
            <w:proofErr w:type="spellEnd"/>
            <w:r>
              <w:rPr>
                <w:rFonts w:ascii="Times New Roman" w:hAnsi="Times New Roman"/>
                <w:sz w:val="20"/>
              </w:rPr>
              <w:t>, пасынок, прорость, рак, сквозные трещины, бахрома</w:t>
            </w:r>
          </w:p>
        </w:tc>
        <w:tc>
          <w:tcPr>
            <w:tcW w:w="5488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Свилеватость, завиток, </w:t>
            </w:r>
            <w:proofErr w:type="spellStart"/>
            <w:r>
              <w:rPr>
                <w:rFonts w:ascii="Times New Roman" w:hAnsi="Times New Roman"/>
                <w:sz w:val="20"/>
              </w:rPr>
              <w:t>крень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водослой</w:t>
            </w:r>
            <w:proofErr w:type="spellEnd"/>
            <w:r>
              <w:rPr>
                <w:rFonts w:ascii="Times New Roman" w:hAnsi="Times New Roman"/>
                <w:sz w:val="20"/>
              </w:rPr>
              <w:t>, глазки</w:t>
            </w:r>
          </w:p>
        </w:tc>
        <w:tc>
          <w:tcPr>
            <w:tcW w:w="548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ограничиваются</w:t>
            </w:r>
          </w:p>
        </w:tc>
      </w:tr>
    </w:tbl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Лицевыми являются поверхности, видимые при эксплуатации.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Сердцевина не допускается на лицевой поверхности досок и брусков для покрытия полов, подоконных досок и деталей под прозрачное покрытие, в остальных случаях - не ограничивается.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Тупой </w:t>
      </w:r>
      <w:proofErr w:type="spellStart"/>
      <w:r>
        <w:rPr>
          <w:rFonts w:ascii="Times New Roman" w:hAnsi="Times New Roman"/>
          <w:sz w:val="20"/>
        </w:rPr>
        <w:t>обзол</w:t>
      </w:r>
      <w:proofErr w:type="spellEnd"/>
      <w:r>
        <w:rPr>
          <w:rFonts w:ascii="Times New Roman" w:hAnsi="Times New Roman"/>
          <w:sz w:val="20"/>
        </w:rPr>
        <w:t xml:space="preserve"> в досках и брусках для покрытия полов и обшивках допускается с </w:t>
      </w:r>
      <w:proofErr w:type="spellStart"/>
      <w:r>
        <w:rPr>
          <w:rFonts w:ascii="Times New Roman" w:hAnsi="Times New Roman"/>
          <w:sz w:val="20"/>
        </w:rPr>
        <w:t>нелицевой</w:t>
      </w:r>
      <w:proofErr w:type="spellEnd"/>
      <w:r>
        <w:rPr>
          <w:rFonts w:ascii="Times New Roman" w:hAnsi="Times New Roman"/>
          <w:sz w:val="20"/>
        </w:rPr>
        <w:t xml:space="preserve"> стороны до паза, гребня или чет</w:t>
      </w:r>
      <w:r>
        <w:rPr>
          <w:rFonts w:ascii="Times New Roman" w:hAnsi="Times New Roman"/>
          <w:sz w:val="20"/>
        </w:rPr>
        <w:t xml:space="preserve">верти. </w:t>
      </w:r>
      <w:proofErr w:type="spellStart"/>
      <w:r>
        <w:rPr>
          <w:rFonts w:ascii="Times New Roman" w:hAnsi="Times New Roman"/>
          <w:sz w:val="20"/>
        </w:rPr>
        <w:t>Обзол</w:t>
      </w:r>
      <w:proofErr w:type="spellEnd"/>
      <w:r>
        <w:rPr>
          <w:rFonts w:ascii="Times New Roman" w:hAnsi="Times New Roman"/>
          <w:sz w:val="20"/>
        </w:rPr>
        <w:t xml:space="preserve"> должен быть очищен от коры.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2.2.2. В поручнях на лицевой поверхности под прозрачное покрытие не допускаются все виды пороков, кроме здоровых, сросшихся сучков диаметром не более 8 мм, крени, </w:t>
      </w:r>
      <w:proofErr w:type="spellStart"/>
      <w:r>
        <w:rPr>
          <w:rFonts w:ascii="Times New Roman" w:hAnsi="Times New Roman"/>
          <w:sz w:val="20"/>
        </w:rPr>
        <w:t>водослоя</w:t>
      </w:r>
      <w:proofErr w:type="spellEnd"/>
      <w:r>
        <w:rPr>
          <w:rFonts w:ascii="Times New Roman" w:hAnsi="Times New Roman"/>
          <w:sz w:val="20"/>
        </w:rPr>
        <w:t>, завитков, свилеватости, глазков, волосяных трещин, наклона волокон более 15 %.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2.2.3. Допускаемые частично сросшиеся сучки диаметром до 15 мм, сучки несросшиеся, гнилые и табачные диаметром до 10 мм должны быть </w:t>
      </w:r>
      <w:proofErr w:type="spellStart"/>
      <w:r>
        <w:rPr>
          <w:rFonts w:ascii="Times New Roman" w:hAnsi="Times New Roman"/>
          <w:sz w:val="20"/>
        </w:rPr>
        <w:t>зашпатлеваны</w:t>
      </w:r>
      <w:proofErr w:type="spellEnd"/>
      <w:r>
        <w:rPr>
          <w:rFonts w:ascii="Times New Roman" w:hAnsi="Times New Roman"/>
          <w:sz w:val="20"/>
        </w:rPr>
        <w:t>; сучки, размеры которых превышают указанные, должны быть заделаны пробкам</w:t>
      </w:r>
      <w:r>
        <w:rPr>
          <w:rFonts w:ascii="Times New Roman" w:hAnsi="Times New Roman"/>
          <w:sz w:val="20"/>
        </w:rPr>
        <w:t>и.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Пороки на </w:t>
      </w:r>
      <w:proofErr w:type="spellStart"/>
      <w:r>
        <w:rPr>
          <w:rFonts w:ascii="Times New Roman" w:hAnsi="Times New Roman"/>
          <w:sz w:val="20"/>
        </w:rPr>
        <w:t>нелицевых</w:t>
      </w:r>
      <w:proofErr w:type="spellEnd"/>
      <w:r>
        <w:rPr>
          <w:rFonts w:ascii="Times New Roman" w:hAnsi="Times New Roman"/>
          <w:sz w:val="20"/>
        </w:rPr>
        <w:t xml:space="preserve"> поверхностях (включая кромочные сучки) допускается не заделывать.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Допускаемые червоточины, трещины, </w:t>
      </w:r>
      <w:proofErr w:type="spellStart"/>
      <w:r>
        <w:rPr>
          <w:rFonts w:ascii="Times New Roman" w:hAnsi="Times New Roman"/>
          <w:sz w:val="20"/>
        </w:rPr>
        <w:t>выщербины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вырывы</w:t>
      </w:r>
      <w:proofErr w:type="spellEnd"/>
      <w:r>
        <w:rPr>
          <w:rFonts w:ascii="Times New Roman" w:hAnsi="Times New Roman"/>
          <w:sz w:val="20"/>
        </w:rPr>
        <w:t xml:space="preserve">, вмятины и </w:t>
      </w:r>
      <w:proofErr w:type="spellStart"/>
      <w:r>
        <w:rPr>
          <w:rFonts w:ascii="Times New Roman" w:hAnsi="Times New Roman"/>
          <w:sz w:val="20"/>
        </w:rPr>
        <w:t>запилы</w:t>
      </w:r>
      <w:proofErr w:type="spellEnd"/>
      <w:r>
        <w:rPr>
          <w:rFonts w:ascii="Times New Roman" w:hAnsi="Times New Roman"/>
          <w:sz w:val="20"/>
        </w:rPr>
        <w:t xml:space="preserve"> на лицевой поверхности должны быть </w:t>
      </w:r>
      <w:proofErr w:type="spellStart"/>
      <w:r>
        <w:rPr>
          <w:rFonts w:ascii="Times New Roman" w:hAnsi="Times New Roman"/>
          <w:sz w:val="20"/>
        </w:rPr>
        <w:t>зашпатлеваны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деталях под прозрачное покрытие на лицевой поверхности не допускается более одной заделки пробкой на 1 м длины детали. Допускается </w:t>
      </w:r>
      <w:proofErr w:type="spellStart"/>
      <w:r>
        <w:rPr>
          <w:rFonts w:ascii="Times New Roman" w:hAnsi="Times New Roman"/>
          <w:sz w:val="20"/>
        </w:rPr>
        <w:t>шпатлевание</w:t>
      </w:r>
      <w:proofErr w:type="spellEnd"/>
      <w:r>
        <w:rPr>
          <w:rFonts w:ascii="Times New Roman" w:hAnsi="Times New Roman"/>
          <w:sz w:val="20"/>
        </w:rPr>
        <w:t xml:space="preserve"> деталей под цвет древесины.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согласованию изготовителя с потребителем пороки, подлежащие </w:t>
      </w:r>
      <w:proofErr w:type="spellStart"/>
      <w:r>
        <w:rPr>
          <w:rFonts w:ascii="Times New Roman" w:hAnsi="Times New Roman"/>
          <w:sz w:val="20"/>
        </w:rPr>
        <w:t>шпатлеванию</w:t>
      </w:r>
      <w:proofErr w:type="spellEnd"/>
      <w:r>
        <w:rPr>
          <w:rFonts w:ascii="Times New Roman" w:hAnsi="Times New Roman"/>
          <w:sz w:val="20"/>
        </w:rPr>
        <w:t xml:space="preserve"> в деталях, поставляемых без отделочного покрытия, допуск</w:t>
      </w:r>
      <w:r>
        <w:rPr>
          <w:rFonts w:ascii="Times New Roman" w:hAnsi="Times New Roman"/>
          <w:sz w:val="20"/>
        </w:rPr>
        <w:t>ается не заделывать.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2.2.4. Влажность древесины деталей должна быть, %:</w:t>
      </w:r>
    </w:p>
    <w:p w:rsidR="00000000" w:rsidRDefault="00DC44E7">
      <w:pPr>
        <w:pStyle w:val="Preforma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19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эксплуатируемых внутри помещений</w:t>
            </w:r>
          </w:p>
        </w:tc>
        <w:tc>
          <w:tcPr>
            <w:tcW w:w="1917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12±3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эксплуатируемых снаружи помещений</w:t>
            </w:r>
          </w:p>
        </w:tc>
        <w:tc>
          <w:tcPr>
            <w:tcW w:w="1917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15±3</w:t>
            </w:r>
          </w:p>
        </w:tc>
      </w:tr>
    </w:tbl>
    <w:p w:rsidR="00000000" w:rsidRDefault="00DC44E7">
      <w:pPr>
        <w:pStyle w:val="Preformat"/>
        <w:rPr>
          <w:rFonts w:ascii="Times New Roman" w:hAnsi="Times New Roman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организациями торговли влажность древесины деталей, поставляемых в розничную торговлю, допускается устанавливать до 20 %.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Влажность древесины заделок должна быть на 2-3 % меньше влажности древесины деталей.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2.2.5. Параметр шероховатости фрезерованных поверхностей деталей (</w:t>
      </w:r>
      <w:proofErr w:type="spellStart"/>
      <w:r>
        <w:rPr>
          <w:rFonts w:ascii="Times New Roman" w:hAnsi="Times New Roman"/>
          <w:sz w:val="20"/>
        </w:rPr>
        <w:t>Rm</w:t>
      </w:r>
      <w:r>
        <w:rPr>
          <w:rFonts w:ascii="Times New Roman" w:hAnsi="Times New Roman"/>
          <w:sz w:val="20"/>
          <w:vertAlign w:val="subscript"/>
        </w:rPr>
        <w:t>max</w:t>
      </w:r>
      <w:proofErr w:type="spellEnd"/>
      <w:r>
        <w:rPr>
          <w:rFonts w:ascii="Times New Roman" w:hAnsi="Times New Roman"/>
          <w:sz w:val="20"/>
        </w:rPr>
        <w:t>) по ГОСТ 7016 не должен быть более, мкм: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12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 прозрачное покры</w:t>
            </w:r>
            <w:r>
              <w:rPr>
                <w:rFonts w:ascii="Times New Roman" w:hAnsi="Times New Roman"/>
              </w:rPr>
              <w:t>тие поручней</w:t>
            </w:r>
          </w:p>
        </w:tc>
        <w:tc>
          <w:tcPr>
            <w:tcW w:w="1209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других деталей</w:t>
            </w:r>
          </w:p>
        </w:tc>
        <w:tc>
          <w:tcPr>
            <w:tcW w:w="1209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 непрозрачное покрытие</w:t>
            </w:r>
          </w:p>
        </w:tc>
        <w:tc>
          <w:tcPr>
            <w:tcW w:w="1209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нелицевых</w:t>
            </w:r>
            <w:proofErr w:type="spellEnd"/>
            <w:r>
              <w:rPr>
                <w:rFonts w:ascii="Times New Roman" w:hAnsi="Times New Roman"/>
              </w:rPr>
              <w:t xml:space="preserve"> поверхностей</w:t>
            </w:r>
          </w:p>
        </w:tc>
        <w:tc>
          <w:tcPr>
            <w:tcW w:w="1209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</w:tbl>
    <w:p w:rsidR="00000000" w:rsidRDefault="00DC44E7">
      <w:pPr>
        <w:pStyle w:val="Preformat"/>
        <w:rPr>
          <w:rFonts w:ascii="Times New Roman" w:hAnsi="Times New Roman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2.2.6. Детали из древесины изготовляют цельными или клееными по длине и сечению. Для склеивания деталей по длине под прозрачную отделку следует применять соединение с длиной зубчатого шипа до 10 мм.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2.2.7. Подоконные доски марки ПД-1 должны быть склеены по ширине. Ширина склеиваемых заготовок должна быть не более 100 мм.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Подоконные доски шириной 144 мм допускается не склеивать.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en-US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</w:t>
      </w:r>
      <w:r>
        <w:rPr>
          <w:rFonts w:ascii="Times New Roman" w:hAnsi="Times New Roman"/>
          <w:b/>
          <w:sz w:val="20"/>
        </w:rPr>
        <w:t>91</w:t>
      </w:r>
      <w:r>
        <w:rPr>
          <w:rFonts w:ascii="Times New Roman" w:hAnsi="Times New Roman"/>
          <w:b/>
          <w:sz w:val="20"/>
          <w:lang w:val="en-US"/>
        </w:rPr>
        <w:t>)</w:t>
      </w:r>
    </w:p>
    <w:p w:rsidR="00000000" w:rsidRDefault="00DC44E7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2.2.8. Клеевые соединения в деталях должны выполняться на клеях не ниже средней водостойкости по ГОСТ 17005.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2.2.9. Прочность клеевых соединений должна быть не менее: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22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на скалывание вдоль волокон</w:t>
            </w:r>
          </w:p>
        </w:tc>
        <w:tc>
          <w:tcPr>
            <w:tcW w:w="2201" w:type="dxa"/>
          </w:tcPr>
          <w:p w:rsidR="00000000" w:rsidRDefault="00DC44E7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МПа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на изгиб при зубчатом соединении</w:t>
            </w:r>
          </w:p>
        </w:tc>
        <w:tc>
          <w:tcPr>
            <w:tcW w:w="2201" w:type="dxa"/>
          </w:tcPr>
          <w:p w:rsidR="00000000" w:rsidRDefault="00DC44E7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24 </w:t>
            </w:r>
            <w:proofErr w:type="spellStart"/>
            <w:r>
              <w:rPr>
                <w:rFonts w:ascii="Times New Roman" w:hAnsi="Times New Roman"/>
              </w:rPr>
              <w:t>МПа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неравномерный отрыв:</w:t>
            </w:r>
          </w:p>
        </w:tc>
        <w:tc>
          <w:tcPr>
            <w:tcW w:w="2201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листовых облицовочных материалов</w:t>
            </w:r>
          </w:p>
        </w:tc>
        <w:tc>
          <w:tcPr>
            <w:tcW w:w="2201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1,50 </w:t>
            </w:r>
            <w:proofErr w:type="spellStart"/>
            <w:r>
              <w:rPr>
                <w:rFonts w:ascii="Times New Roman" w:hAnsi="Times New Roman"/>
              </w:rPr>
              <w:t>кН</w:t>
            </w:r>
            <w:proofErr w:type="spellEnd"/>
            <w:r>
              <w:rPr>
                <w:rFonts w:ascii="Times New Roman" w:hAnsi="Times New Roman"/>
              </w:rPr>
              <w:t>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поливинилхлоридной декоративной пленки</w:t>
            </w:r>
          </w:p>
        </w:tc>
        <w:tc>
          <w:tcPr>
            <w:tcW w:w="2201" w:type="dxa"/>
          </w:tcPr>
          <w:p w:rsidR="00000000" w:rsidRDefault="00DC44E7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 Н/см</w:t>
            </w:r>
          </w:p>
        </w:tc>
      </w:tr>
    </w:tbl>
    <w:p w:rsidR="00000000" w:rsidRDefault="00DC44E7">
      <w:pPr>
        <w:pStyle w:val="Preformat"/>
        <w:rPr>
          <w:rFonts w:ascii="Times New Roman" w:hAnsi="Times New Roman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2.2.10. Детали поставляют без отделочного покрытия, с прозрачной и непрозрачной отделкой лицевых поверхностей лакокрасочными и защитно-декорати</w:t>
      </w:r>
      <w:r>
        <w:rPr>
          <w:rFonts w:ascii="Times New Roman" w:hAnsi="Times New Roman"/>
          <w:sz w:val="20"/>
        </w:rPr>
        <w:t xml:space="preserve">вными материалами; подоконные доски по лицевым поверхностям могут быть облицованы шпоном или декоративным </w:t>
      </w:r>
      <w:proofErr w:type="spellStart"/>
      <w:r>
        <w:rPr>
          <w:rFonts w:ascii="Times New Roman" w:hAnsi="Times New Roman"/>
          <w:sz w:val="20"/>
        </w:rPr>
        <w:t>бумажнослоистым</w:t>
      </w:r>
      <w:proofErr w:type="spellEnd"/>
      <w:r>
        <w:rPr>
          <w:rFonts w:ascii="Times New Roman" w:hAnsi="Times New Roman"/>
          <w:sz w:val="20"/>
        </w:rPr>
        <w:t xml:space="preserve"> пластиком; наличники - поливинилхлоридной декоративной пленкой с клеящим слоем.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Наличники марок Н-3, Н-4, Н-5, Н-6 следует изготавливать с законченным отделочным покрытием и применять в помещениях с нормальным влажностным режимом.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 отделочного покрытия определяют по согласованию изготовителя с потребителем.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2.2.11. Качество лакокрасочных покрытий деталей должно быть не ниже </w:t>
      </w:r>
      <w:proofErr w:type="spellStart"/>
      <w:r>
        <w:rPr>
          <w:rFonts w:ascii="Times New Roman" w:hAnsi="Times New Roman"/>
          <w:sz w:val="20"/>
        </w:rPr>
        <w:t>IV</w:t>
      </w:r>
      <w:proofErr w:type="spellEnd"/>
      <w:r>
        <w:rPr>
          <w:rFonts w:ascii="Times New Roman" w:hAnsi="Times New Roman"/>
          <w:sz w:val="20"/>
        </w:rPr>
        <w:t xml:space="preserve"> класса </w:t>
      </w:r>
      <w:r>
        <w:rPr>
          <w:rFonts w:ascii="Times New Roman" w:hAnsi="Times New Roman"/>
          <w:sz w:val="20"/>
        </w:rPr>
        <w:t>по ГОСТ 24404. В законченном покрытии не допускаются поднятие ворса, просвечивание основы и пропуски покрытия.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лицевых поверхностях деталей с декоративной облицовкой листовыми или пленочными материалами размеры и число царапин, вмятин, пятен, включений, структурных неровностей должно быть не более </w:t>
      </w:r>
      <w:proofErr w:type="spellStart"/>
      <w:r>
        <w:rPr>
          <w:rFonts w:ascii="Times New Roman" w:hAnsi="Times New Roman"/>
          <w:sz w:val="20"/>
        </w:rPr>
        <w:t>IV</w:t>
      </w:r>
      <w:proofErr w:type="spellEnd"/>
      <w:r>
        <w:rPr>
          <w:rFonts w:ascii="Times New Roman" w:hAnsi="Times New Roman"/>
          <w:sz w:val="20"/>
        </w:rPr>
        <w:t xml:space="preserve"> класса по ГОСТ 24404. Остальные дефекты не допускаются.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2.2.12. Лакокрасочные покрытия деталей должны иметь прочность сцепления (</w:t>
      </w:r>
      <w:proofErr w:type="spellStart"/>
      <w:r>
        <w:rPr>
          <w:rFonts w:ascii="Times New Roman" w:hAnsi="Times New Roman"/>
          <w:sz w:val="20"/>
        </w:rPr>
        <w:t>адгезию</w:t>
      </w:r>
      <w:proofErr w:type="spellEnd"/>
      <w:r>
        <w:rPr>
          <w:rFonts w:ascii="Times New Roman" w:hAnsi="Times New Roman"/>
          <w:sz w:val="20"/>
        </w:rPr>
        <w:t>) с древесиной не ниже 2-го балла по ГОСТ 15140.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2.2.13. Доски для покр</w:t>
      </w:r>
      <w:r>
        <w:rPr>
          <w:rFonts w:ascii="Times New Roman" w:hAnsi="Times New Roman"/>
          <w:sz w:val="20"/>
        </w:rPr>
        <w:t xml:space="preserve">ытия полов со стороны нижней </w:t>
      </w:r>
      <w:proofErr w:type="spellStart"/>
      <w:r>
        <w:rPr>
          <w:rFonts w:ascii="Times New Roman" w:hAnsi="Times New Roman"/>
          <w:sz w:val="20"/>
        </w:rPr>
        <w:t>пласти</w:t>
      </w:r>
      <w:proofErr w:type="spellEnd"/>
      <w:r>
        <w:rPr>
          <w:rFonts w:ascii="Times New Roman" w:hAnsi="Times New Roman"/>
          <w:sz w:val="20"/>
        </w:rPr>
        <w:t xml:space="preserve"> и подоконные доски в местах примыкания к стенам должны быть </w:t>
      </w:r>
      <w:proofErr w:type="spellStart"/>
      <w:r>
        <w:rPr>
          <w:rFonts w:ascii="Times New Roman" w:hAnsi="Times New Roman"/>
          <w:sz w:val="20"/>
        </w:rPr>
        <w:t>антисептированы</w:t>
      </w:r>
      <w:proofErr w:type="spellEnd"/>
      <w:r>
        <w:rPr>
          <w:rFonts w:ascii="Times New Roman" w:hAnsi="Times New Roman"/>
          <w:sz w:val="20"/>
        </w:rPr>
        <w:t xml:space="preserve">. При наличии отделочного покрытия указанные поверхности деталей допускается не </w:t>
      </w:r>
      <w:proofErr w:type="spellStart"/>
      <w:r>
        <w:rPr>
          <w:rFonts w:ascii="Times New Roman" w:hAnsi="Times New Roman"/>
          <w:sz w:val="20"/>
        </w:rPr>
        <w:t>антисептировать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Антисептированные</w:t>
      </w:r>
      <w:proofErr w:type="spellEnd"/>
      <w:r>
        <w:rPr>
          <w:rFonts w:ascii="Times New Roman" w:hAnsi="Times New Roman"/>
          <w:sz w:val="20"/>
        </w:rPr>
        <w:t xml:space="preserve"> поверхности не должны иметь пропусков защитного покрытия.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Упаковка и маркировка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 Детали должны быть упакованы в транспортные пакеты или пачки. По требованию потребителя детали допускается не упаковывать.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Формирование транспортных пакетов должно соответствовать ГОСТ 211</w:t>
      </w:r>
      <w:r>
        <w:rPr>
          <w:rFonts w:ascii="Times New Roman" w:hAnsi="Times New Roman"/>
          <w:sz w:val="20"/>
        </w:rPr>
        <w:t>00.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Массу транспортного пакета определяют в зависимости от вида транспорта и технических характеристик погрузочно-разгрузочных средств.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Пачки должны быть сформированы из деталей одной марки, сечения и длины (для прирезанных в размер деталей). Длина </w:t>
      </w:r>
      <w:proofErr w:type="spellStart"/>
      <w:r>
        <w:rPr>
          <w:rFonts w:ascii="Times New Roman" w:hAnsi="Times New Roman"/>
          <w:sz w:val="20"/>
        </w:rPr>
        <w:t>неприрезанных</w:t>
      </w:r>
      <w:proofErr w:type="spellEnd"/>
      <w:r>
        <w:rPr>
          <w:rFonts w:ascii="Times New Roman" w:hAnsi="Times New Roman"/>
          <w:sz w:val="20"/>
        </w:rPr>
        <w:t xml:space="preserve"> деталей в каждой пачке не должна отличаться от средней длины деталей в пачке более чем на 0,5 м. Наличники, прирезанные по длине, должны быть упакованы в пачку комплектом.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формировании пачек один из торцов должен быть </w:t>
      </w:r>
      <w:proofErr w:type="spellStart"/>
      <w:r>
        <w:rPr>
          <w:rFonts w:ascii="Times New Roman" w:hAnsi="Times New Roman"/>
          <w:sz w:val="20"/>
        </w:rPr>
        <w:t>выравнен</w:t>
      </w:r>
      <w:proofErr w:type="spellEnd"/>
      <w:r>
        <w:rPr>
          <w:rFonts w:ascii="Times New Roman" w:hAnsi="Times New Roman"/>
          <w:sz w:val="20"/>
        </w:rPr>
        <w:t xml:space="preserve">, детали длиной до </w:t>
      </w:r>
      <w:r>
        <w:rPr>
          <w:rFonts w:ascii="Times New Roman" w:hAnsi="Times New Roman"/>
          <w:sz w:val="20"/>
        </w:rPr>
        <w:t>2,5 м должны быть увязаны не менее чем в двух местах, св. 2,5 до 4,0 м - в трех местах, св. 4,0 м - в четырех местах металлической лентой по ГОСТ 3560 или лентой из поливинилхлоридного пластика по ГОСТ 17617.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использование других упаковочных материалов.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Упаковка должна обеспечивать плотность и сохранность деталей во время погрузки, транспортирования и разгрузки.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2.3.3. Подоконные доски, имеющие отделочное покрытие, укладывают лицевыми </w:t>
      </w:r>
      <w:proofErr w:type="spellStart"/>
      <w:r>
        <w:rPr>
          <w:rFonts w:ascii="Times New Roman" w:hAnsi="Times New Roman"/>
          <w:sz w:val="20"/>
        </w:rPr>
        <w:t>пластями</w:t>
      </w:r>
      <w:proofErr w:type="spellEnd"/>
      <w:r>
        <w:rPr>
          <w:rFonts w:ascii="Times New Roman" w:hAnsi="Times New Roman"/>
          <w:sz w:val="20"/>
        </w:rPr>
        <w:t xml:space="preserve"> попарно друг к другу. По требованию потребителя межд</w:t>
      </w:r>
      <w:r>
        <w:rPr>
          <w:rFonts w:ascii="Times New Roman" w:hAnsi="Times New Roman"/>
          <w:sz w:val="20"/>
        </w:rPr>
        <w:t>у отделанными поверхностями должна быть уложена прокладка из бумаги по ГОСТ 515.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Каждая пачка или пакет должны иметь ярлык, на котором указывают: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или товарный знак предприятия-изготовителя;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обозначение деталей и вид отделочного покрытия;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деталей по маркам, сечению, длине (для прирезанных в размер деталей) в метрах (кубических метрах, квадратных метрах) или штуках и виду отделочного покрытия;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дату изготовления и штамп </w:t>
      </w:r>
      <w:proofErr w:type="spellStart"/>
      <w:r>
        <w:rPr>
          <w:rFonts w:ascii="Times New Roman" w:hAnsi="Times New Roman"/>
          <w:sz w:val="20"/>
        </w:rPr>
        <w:t>ОТК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Транспортная маркировка - по ГО</w:t>
      </w:r>
      <w:r>
        <w:rPr>
          <w:rFonts w:ascii="Times New Roman" w:hAnsi="Times New Roman"/>
          <w:sz w:val="20"/>
        </w:rPr>
        <w:t>СТ 14192.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Приемка</w:t>
      </w: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Детали принимают партиями. Партией считают число деталей одной марки, сечения, вида прирезки, вида отделки, оформленное одним документом о качестве.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партии устанавливают по согласованию изготовителя с потребителем.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отсутствии спецификации допускается поставка деталей длиной от 1,0 до 2,1 м в объеме не более 10 % партии, а для плинтусов - 25 %.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Испытания деталей по показателям, приведенным в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1.1-1.4, 2.2.1-2.2.5, 2.2.11, 2.2.13, являются приемосдаточными.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</w:t>
      </w:r>
      <w:r>
        <w:rPr>
          <w:rFonts w:ascii="Times New Roman" w:hAnsi="Times New Roman"/>
          <w:sz w:val="20"/>
        </w:rPr>
        <w:t>оверки применяют выборочный одноступенчатый контроль по альтернативному признаку по ГОСТ 23616. Планы контроля (приемочный уровень дефектности 4 %) приведены в табл. 3.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DC44E7">
      <w:pPr>
        <w:pStyle w:val="Preformat"/>
        <w:jc w:val="right"/>
        <w:rPr>
          <w:rFonts w:ascii="Times New Roman" w:hAnsi="Times New Roman"/>
        </w:rPr>
      </w:pPr>
    </w:p>
    <w:p w:rsidR="00000000" w:rsidRDefault="00DC44E7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шт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722"/>
        <w:gridCol w:w="1984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партии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выборки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Приемочное число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Браковочное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right w:val="nil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90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90 до 280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280 " 500 "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500 " 1200 "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1200 " 3200 "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DC44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3200 " 10000 "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C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</w:tbl>
    <w:p w:rsidR="00000000" w:rsidRDefault="00DC44E7">
      <w:pPr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Приемочный контроль осуществляют в следующем порядке: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 партии деталей производят выборку методом случайного</w:t>
      </w:r>
      <w:r>
        <w:rPr>
          <w:rFonts w:ascii="Times New Roman" w:hAnsi="Times New Roman"/>
          <w:sz w:val="20"/>
        </w:rPr>
        <w:t xml:space="preserve"> отбора по ГОСТ 18321;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проверяют каждую деталь в выборке на соответствие требованиям настоящего стандарта и определяют число деталей с недопустимыми дефектами;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партию принимают, если число дефектных деталей в выборке меньше или равно приемочному числу;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партию не принимают, если число дефектных деталей в выборке равно или больше браковочного числа.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Прочность клеевых соединений и прочность сцепления лакокрасочных покрытий с древесиной деталей проверяют не реже одного раза в квартал и при получении </w:t>
      </w:r>
      <w:r>
        <w:rPr>
          <w:rFonts w:ascii="Times New Roman" w:hAnsi="Times New Roman"/>
          <w:sz w:val="20"/>
        </w:rPr>
        <w:t>каждой новой партии клея и лакокрасочного материала.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Ширину досок и брусков для покрытия полов измеряют по лицевой стороне без учета высоты гребня, ширину обшивки - без учета глубины четверти или высоты гребня.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Каждая отгружаемая партия деталей должна сопровождаться документом, в котором должно быть указано: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или товарный знак предприятия-изготовителя;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номер приемщика </w:t>
      </w:r>
      <w:proofErr w:type="spellStart"/>
      <w:r>
        <w:rPr>
          <w:rFonts w:ascii="Times New Roman" w:hAnsi="Times New Roman"/>
          <w:sz w:val="20"/>
        </w:rPr>
        <w:t>ОТК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деталей;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кол. деталей по маркам, сечению и длине (для прирезанных в размер деталей) в метрах </w:t>
      </w:r>
      <w:r>
        <w:rPr>
          <w:rFonts w:ascii="Times New Roman" w:hAnsi="Times New Roman"/>
          <w:sz w:val="20"/>
        </w:rPr>
        <w:t>(кубических метрах, квадратных метрах) или штуках;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порода древесины;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вид отделочного (облицовочного) покрытия;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дата отгрузки;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настоящего стандарта.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контроля</w:t>
      </w: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Длину, ширину и толщину деталей измеряют металлическими линейками по ГОСТ 427, металлическими рулетками по ГОСТ 7502, предельными калибрами по ГОСТ 15876, штангенциркулями по ГОСТ 166, </w:t>
      </w:r>
      <w:proofErr w:type="spellStart"/>
      <w:r>
        <w:rPr>
          <w:rFonts w:ascii="Times New Roman" w:hAnsi="Times New Roman"/>
          <w:sz w:val="20"/>
        </w:rPr>
        <w:t>штангенглубиномерами</w:t>
      </w:r>
      <w:proofErr w:type="spellEnd"/>
      <w:r>
        <w:rPr>
          <w:rFonts w:ascii="Times New Roman" w:hAnsi="Times New Roman"/>
          <w:sz w:val="20"/>
        </w:rPr>
        <w:t xml:space="preserve"> по ГОСТ 162.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Ширину и толщину измеряют по торцам и посередине длины деталей.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Отклонение от перпендикулярнос</w:t>
      </w:r>
      <w:r>
        <w:rPr>
          <w:rFonts w:ascii="Times New Roman" w:hAnsi="Times New Roman"/>
          <w:sz w:val="20"/>
        </w:rPr>
        <w:t>ти (прямолинейности) сторон деталей определяют поверочными угольниками по ГОСТ 3749, поверочными линейками по ГОСТ 8026 и щупами по ГОСТ 8925 измерением максимального зазора.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Отклонение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определяют при помощи набора щупов замером наибольшего зазора между поверхностью проверяемого изделия и эталонной поверхностью с отклонением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не более ±0,1 мм/м.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Породу древесины определяют визуально. Пороки древесины и обработки оценивают и измеряют по ГОСТ 2140. Размер сучка определяют</w:t>
      </w:r>
      <w:r>
        <w:rPr>
          <w:rFonts w:ascii="Times New Roman" w:hAnsi="Times New Roman"/>
          <w:sz w:val="20"/>
        </w:rPr>
        <w:t xml:space="preserve"> по наименьшему диаметру разреза сучка.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Влажность древесины деталей определяют по ГОСТ 16588.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Шероховатость поверхности деталей определяют по ГОСТ 15612 или сравнением с образцами-эталонами.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Прочность клеевого соединения на скалывание вдоль волокон определяют по ГОСТ 15613.1.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Прочность зубчатого клеевого соединения при статическом изгибе определяют по ГОСТ 15613.4.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Прочность склеивания листовых облицовочных материалов с древесиной деталей определяют по ГОСТ 25885, пленочных - по ГОС</w:t>
      </w:r>
      <w:r>
        <w:rPr>
          <w:rFonts w:ascii="Times New Roman" w:hAnsi="Times New Roman"/>
          <w:sz w:val="20"/>
        </w:rPr>
        <w:t>Т 15867.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Качество лакокрасочных покрытий определяют по ГОСТ 24404.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4.10. Качество </w:t>
      </w:r>
      <w:proofErr w:type="spellStart"/>
      <w:r>
        <w:rPr>
          <w:rFonts w:ascii="Times New Roman" w:hAnsi="Times New Roman"/>
          <w:sz w:val="20"/>
        </w:rPr>
        <w:t>антисептирования</w:t>
      </w:r>
      <w:proofErr w:type="spellEnd"/>
      <w:r>
        <w:rPr>
          <w:rFonts w:ascii="Times New Roman" w:hAnsi="Times New Roman"/>
          <w:sz w:val="20"/>
        </w:rPr>
        <w:t xml:space="preserve"> определяют визуально.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4.11. Прочность сцепления лакокрасочных покрытий с отделываемой поверхностью деталей проверяют методом "решетчатых надрезов" по ГОСТ 15140.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Транспортирование и хранение</w:t>
      </w: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Детали транспортируют всеми видами транспорта в соответствии с правилами перевозки грузов, действующими на данном виде транспорта.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Детали должны храниться рассортированными по маркам, сечениям, длинам и</w:t>
      </w:r>
      <w:r>
        <w:rPr>
          <w:rFonts w:ascii="Times New Roman" w:hAnsi="Times New Roman"/>
          <w:sz w:val="20"/>
        </w:rPr>
        <w:t xml:space="preserve"> степени заводской готовности деталей.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При погрузке, транспортировании, разгрузке и хранении должна быть обеспечена сохранность деталей (защита от механических повреждений, увлажнения, загрязнения). Условия хранения должны обеспечивать нормированную влажность древесины деталей.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Гарантии изготовителя</w:t>
      </w:r>
    </w:p>
    <w:p w:rsidR="00000000" w:rsidRDefault="00DC44E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Изготовитель гарантирует соответствие деталей требованиям настоящего стандарта при соблюдении потребителем условий транспортирования и хранения.</w:t>
      </w: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44E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параметры и размеры</w:t>
      </w:r>
    </w:p>
    <w:p w:rsidR="00000000" w:rsidRDefault="00DC44E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требова</w:t>
      </w:r>
      <w:r>
        <w:rPr>
          <w:rFonts w:ascii="Times New Roman" w:hAnsi="Times New Roman"/>
        </w:rPr>
        <w:t>ния</w:t>
      </w:r>
    </w:p>
    <w:p w:rsidR="00000000" w:rsidRDefault="00DC44E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Приемка</w:t>
      </w:r>
    </w:p>
    <w:p w:rsidR="00000000" w:rsidRDefault="00DC44E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Методы контроля</w:t>
      </w:r>
    </w:p>
    <w:p w:rsidR="00000000" w:rsidRDefault="00DC44E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Транспортирование и хранение</w:t>
      </w:r>
    </w:p>
    <w:p w:rsidR="00000000" w:rsidRDefault="00DC44E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Гарантии изготовителя</w:t>
      </w:r>
    </w:p>
    <w:p w:rsidR="00000000" w:rsidRDefault="00DC44E7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4E7"/>
    <w:rsid w:val="00D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26" Target="media/image23.jpeg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media/image22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29" Target="media/image26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24" Target="media/image21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28" Target="media/image25.jpe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31" Target="theme/theme1.xml" Type="http://schemas.openxmlformats.org/officeDocument/2006/relationships/them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Relationship Id="rId27" Target="media/image24.jpeg" Type="http://schemas.openxmlformats.org/officeDocument/2006/relationships/image"/><Relationship Id="rId30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2726</Words>
  <Characters>15542</Characters>
  <Application>Microsoft Office Word</Application>
  <DocSecurity>0</DocSecurity>
  <Lines>129</Lines>
  <Paragraphs>36</Paragraphs>
  <ScaleCrop>false</ScaleCrop>
  <Company>Elcom Ltd</Company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8242-88  </dc:title>
  <dc:subject/>
  <dc:creator>Alexandre Katalov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338464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