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5A12">
      <w:pPr>
        <w:jc w:val="right"/>
      </w:pPr>
      <w:bookmarkStart w:id="0" w:name="_GoBack"/>
      <w:bookmarkEnd w:id="0"/>
      <w:r>
        <w:t>ГОСТ Р 22.9.01-95</w:t>
      </w:r>
    </w:p>
    <w:p w:rsidR="00000000" w:rsidRDefault="000C5A12">
      <w:pPr>
        <w:jc w:val="right"/>
      </w:pPr>
    </w:p>
    <w:p w:rsidR="00000000" w:rsidRDefault="000C5A12">
      <w:pPr>
        <w:jc w:val="center"/>
        <w:rPr>
          <w:lang w:val="en-US"/>
        </w:rPr>
      </w:pPr>
      <w:r>
        <w:t xml:space="preserve">УДК </w:t>
      </w:r>
      <w:r>
        <w:rPr>
          <w:lang w:val="en-US"/>
        </w:rPr>
        <w:t xml:space="preserve">658.382.3:006.354 </w:t>
      </w:r>
      <w:r>
        <w:t xml:space="preserve">                                                                                                   Группа Т58</w:t>
      </w:r>
    </w:p>
    <w:p w:rsidR="00000000" w:rsidRDefault="000C5A12">
      <w:pPr>
        <w:jc w:val="right"/>
      </w:pPr>
    </w:p>
    <w:p w:rsidR="00000000" w:rsidRDefault="000C5A1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РОССИЙСКОЙ ФЕДЕРАЦИИ</w:t>
      </w:r>
    </w:p>
    <w:p w:rsidR="00000000" w:rsidRDefault="000C5A12">
      <w:pPr>
        <w:jc w:val="center"/>
      </w:pPr>
    </w:p>
    <w:p w:rsidR="00000000" w:rsidRDefault="000C5A1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Безопасность в чрезвычайных ситуациях</w:t>
      </w:r>
    </w:p>
    <w:p w:rsidR="00000000" w:rsidRDefault="000C5A12">
      <w:pPr>
        <w:jc w:val="center"/>
      </w:pPr>
    </w:p>
    <w:p w:rsidR="00000000" w:rsidRDefault="000C5A12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АВАРИЙНО-СПАСАТЕЛЬ</w:t>
      </w:r>
      <w:r>
        <w:rPr>
          <w:rFonts w:ascii="Times New Roman" w:hAnsi="Times New Roman"/>
          <w:sz w:val="20"/>
        </w:rPr>
        <w:t>НЫЙ ИНСТРУМЕНТ И ОБОРУДОВАНИЕ</w:t>
      </w:r>
    </w:p>
    <w:p w:rsidR="00000000" w:rsidRDefault="000C5A1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5A1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технические требования</w:t>
      </w:r>
    </w:p>
    <w:p w:rsidR="00000000" w:rsidRDefault="000C5A1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5A12">
      <w:pPr>
        <w:pStyle w:val="Heading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emergencies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Emergency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rescue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tools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equipment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C5A12">
      <w:pPr>
        <w:pStyle w:val="Heading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technical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</w:p>
    <w:p w:rsidR="00000000" w:rsidRDefault="000C5A12">
      <w:pPr>
        <w:ind w:firstLine="225"/>
        <w:jc w:val="both"/>
      </w:pPr>
    </w:p>
    <w:p w:rsidR="00000000" w:rsidRDefault="000C5A12">
      <w:pPr>
        <w:ind w:firstLine="284"/>
        <w:jc w:val="both"/>
        <w:rPr>
          <w:lang w:val="en-US"/>
        </w:rPr>
      </w:pPr>
      <w:r>
        <w:t>ОКС 21.020</w:t>
      </w:r>
    </w:p>
    <w:p w:rsidR="00000000" w:rsidRDefault="000C5A12">
      <w:pPr>
        <w:ind w:firstLine="284"/>
      </w:pPr>
      <w:r>
        <w:t>ОКСТУ 0022</w:t>
      </w:r>
    </w:p>
    <w:p w:rsidR="00000000" w:rsidRDefault="000C5A12">
      <w:pPr>
        <w:ind w:firstLine="284"/>
        <w:jc w:val="right"/>
        <w:rPr>
          <w:i/>
          <w:lang w:val="en-US"/>
        </w:rPr>
      </w:pPr>
      <w:r>
        <w:rPr>
          <w:i/>
        </w:rPr>
        <w:t>Дата введения 1996-01-01</w:t>
      </w:r>
    </w:p>
    <w:p w:rsidR="00000000" w:rsidRDefault="000C5A12">
      <w:pPr>
        <w:ind w:firstLine="284"/>
        <w:jc w:val="right"/>
      </w:pPr>
    </w:p>
    <w:p w:rsidR="00000000" w:rsidRDefault="000C5A1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>1 РАЗРАБОТАН Всероссийским научно-исследовательским институтом по проблемам Гражданской обороны и чрезвычайных ситуаций (ВНИИ ГОЧС), доработан с участием рабочей группы специалистов Технического комитета по стандартизации ТК 71 "Гражданская оборона, предупреждение и ликвидация чрезвычайных си</w:t>
      </w:r>
      <w:r>
        <w:t>туаций"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>ВНЕСЕН Техническим комитетом по стандартизации ТК 71 "Гражданская оборона, предупреждение и ликвидация чрезвычайных ситуаций"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>2 ПРИНЯТ И ВВЕДЕН В ДЕЙСТВИЕ Постановлением Госстандарта России от 25 января 1995 г. № 15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>3 ВВЕДЕН ВПЕРВЫЕ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</w:p>
    <w:p w:rsidR="00000000" w:rsidRDefault="000C5A1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 xml:space="preserve">Настоящий стандарт устанавливает общие технические требования к аварийно-спасательному ручному инструменту и оборудованию для его </w:t>
      </w:r>
      <w:proofErr w:type="spellStart"/>
      <w:r>
        <w:t>энергообеспечения</w:t>
      </w:r>
      <w:proofErr w:type="spellEnd"/>
      <w:r>
        <w:t>, предназначенных для применения в зонах чрезвычайных ситуаций, а также при отборе технических ср</w:t>
      </w:r>
      <w:r>
        <w:t>едств для оснащения подразделений аварийно-спасательных сил Российской системы предупреждения и действий в чрезвычайных ситуациях (РСЧС).</w:t>
      </w:r>
    </w:p>
    <w:p w:rsidR="00000000" w:rsidRDefault="000C5A12">
      <w:pPr>
        <w:ind w:firstLine="284"/>
        <w:jc w:val="both"/>
      </w:pPr>
      <w:r>
        <w:t>Стандарт распространяется на следующие виды аварийно-спасательной техники:</w:t>
      </w:r>
    </w:p>
    <w:p w:rsidR="00000000" w:rsidRDefault="000C5A12">
      <w:pPr>
        <w:ind w:firstLine="284"/>
        <w:jc w:val="both"/>
      </w:pPr>
      <w:r>
        <w:t>- ручной немеханизированный инструмент;</w:t>
      </w:r>
    </w:p>
    <w:p w:rsidR="00000000" w:rsidRDefault="000C5A12">
      <w:pPr>
        <w:ind w:firstLine="284"/>
        <w:jc w:val="both"/>
      </w:pPr>
      <w:r>
        <w:t>- ручной механизированный инструмент;</w:t>
      </w:r>
    </w:p>
    <w:p w:rsidR="00000000" w:rsidRDefault="000C5A12">
      <w:pPr>
        <w:ind w:firstLine="284"/>
        <w:jc w:val="both"/>
      </w:pPr>
      <w:r>
        <w:t xml:space="preserve">- оборудование </w:t>
      </w:r>
      <w:proofErr w:type="spellStart"/>
      <w:r>
        <w:t>энергообеспечения</w:t>
      </w:r>
      <w:proofErr w:type="spellEnd"/>
      <w:r>
        <w:t xml:space="preserve"> инструмента.</w:t>
      </w:r>
    </w:p>
    <w:p w:rsidR="00000000" w:rsidRDefault="000C5A12">
      <w:pPr>
        <w:ind w:firstLine="284"/>
        <w:jc w:val="both"/>
      </w:pPr>
      <w:r>
        <w:t>Примерный состав инструмента в комплектах по группам дан в приложении А.</w:t>
      </w:r>
    </w:p>
    <w:p w:rsidR="00000000" w:rsidRDefault="000C5A12">
      <w:pPr>
        <w:ind w:firstLine="284"/>
        <w:jc w:val="both"/>
      </w:pPr>
    </w:p>
    <w:p w:rsidR="00000000" w:rsidRDefault="000C5A1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>В настоящем стандарте использованы ссылки на следующие документы:</w:t>
      </w:r>
    </w:p>
    <w:p w:rsidR="00000000" w:rsidRDefault="000C5A12">
      <w:pPr>
        <w:ind w:firstLine="284"/>
        <w:jc w:val="both"/>
      </w:pPr>
      <w:r>
        <w:t>ГОСТ 12.0.003</w:t>
      </w:r>
      <w:r>
        <w:t>-74 ССБТ. Опасные и вредные производственные факторы. Классификация</w:t>
      </w:r>
    </w:p>
    <w:p w:rsidR="00000000" w:rsidRDefault="000C5A12">
      <w:pPr>
        <w:ind w:firstLine="284"/>
        <w:jc w:val="both"/>
      </w:pPr>
      <w:r>
        <w:t>ГОСТ 12.2.007.7-83 ССБТ. Устройства комплектные низковольтные. Требования безопасности</w:t>
      </w:r>
    </w:p>
    <w:p w:rsidR="00000000" w:rsidRDefault="000C5A12">
      <w:pPr>
        <w:ind w:firstLine="284"/>
        <w:jc w:val="both"/>
      </w:pPr>
      <w:r>
        <w:t>ГОСТ 12.2.010-75 ССБТ. Машины ручные пневматические. Общие требования безопасности</w:t>
      </w:r>
    </w:p>
    <w:p w:rsidR="00000000" w:rsidRDefault="000C5A12">
      <w:pPr>
        <w:ind w:firstLine="284"/>
        <w:jc w:val="both"/>
      </w:pPr>
      <w:r>
        <w:t>ГОСТ 12.2.013.0-91 ССБТ. Машины ручные электрические. Общие требования безопасности и методы испытаний</w:t>
      </w:r>
    </w:p>
    <w:p w:rsidR="00000000" w:rsidRDefault="000C5A12">
      <w:pPr>
        <w:ind w:firstLine="284"/>
        <w:jc w:val="both"/>
      </w:pPr>
      <w:r>
        <w:t>ГОСТ 12.2.013.1-91 ССБТ. Машины ручные электрические. Частные требования безопасности и методы испытаний сверлильных машин</w:t>
      </w:r>
    </w:p>
    <w:p w:rsidR="00000000" w:rsidRDefault="000C5A12">
      <w:pPr>
        <w:ind w:firstLine="284"/>
        <w:jc w:val="both"/>
      </w:pPr>
      <w:r>
        <w:lastRenderedPageBreak/>
        <w:t>ГОСТ 12.2.013.6-91 ССБТ. Машины ручные электриче</w:t>
      </w:r>
      <w:r>
        <w:t>ские. Конкретные требования безопасности и методы испытаний молотков и перфораторов</w:t>
      </w:r>
    </w:p>
    <w:p w:rsidR="00000000" w:rsidRDefault="000C5A12">
      <w:pPr>
        <w:ind w:firstLine="284"/>
        <w:jc w:val="both"/>
      </w:pPr>
      <w:r>
        <w:t>ГОСТ 12.2.013.8-91 ССБТ. Машины ручные электрические. Конкретные требования безопасности и методы испытаний ножниц</w:t>
      </w:r>
    </w:p>
    <w:p w:rsidR="00000000" w:rsidRDefault="000C5A12">
      <w:pPr>
        <w:ind w:firstLine="284"/>
        <w:jc w:val="both"/>
      </w:pPr>
      <w:r>
        <w:t>ГОСТ 12.2.086-83 ССБТ. Гидроприводы объемные и системы смазочные. Общие требования безопасности к монтажу, испытаниям и эксплуатации</w:t>
      </w:r>
    </w:p>
    <w:p w:rsidR="00000000" w:rsidRDefault="000C5A12">
      <w:pPr>
        <w:ind w:firstLine="284"/>
        <w:jc w:val="both"/>
      </w:pPr>
      <w:r>
        <w:t>ГОСТ 12.4.064-84 ССБТ. Костюмы изолирующие. Общие технические требования и методы испытаний</w:t>
      </w:r>
    </w:p>
    <w:p w:rsidR="00000000" w:rsidRDefault="000C5A12">
      <w:pPr>
        <w:ind w:firstLine="284"/>
        <w:jc w:val="both"/>
      </w:pPr>
      <w:r>
        <w:t>ГОСТ 20.39.108-85 Комплексная система общих технических требований. Требования по эргоно</w:t>
      </w:r>
      <w:r>
        <w:t>мике, обитаемости и технической эстетике. Номенклатура и порядок выбора</w:t>
      </w:r>
    </w:p>
    <w:p w:rsidR="00000000" w:rsidRDefault="000C5A12">
      <w:pPr>
        <w:ind w:firstLine="284"/>
        <w:jc w:val="both"/>
      </w:pPr>
      <w:r>
        <w:t>ГОСТ 13109-87 Электрическая энергия. Требования к качеству электрической энергии в электрических сетях общего пользования</w:t>
      </w:r>
    </w:p>
    <w:p w:rsidR="00000000" w:rsidRDefault="000C5A12">
      <w:pPr>
        <w:ind w:firstLine="284"/>
        <w:jc w:val="both"/>
      </w:pPr>
      <w:r>
        <w:t>ГОСТ 14192-77 Маркировка грузов</w:t>
      </w:r>
    </w:p>
    <w:p w:rsidR="00000000" w:rsidRDefault="000C5A12">
      <w:pPr>
        <w:ind w:firstLine="284"/>
        <w:jc w:val="both"/>
      </w:pPr>
      <w: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000000" w:rsidRDefault="000C5A12">
      <w:pPr>
        <w:ind w:firstLine="284"/>
        <w:jc w:val="both"/>
      </w:pPr>
      <w:r>
        <w:t>ГОСТ 27708-88 Материалы и покрытия полимерные защитные деза</w:t>
      </w:r>
      <w:r>
        <w:t xml:space="preserve">ктивируемые. Метод определения </w:t>
      </w:r>
      <w:proofErr w:type="spellStart"/>
      <w:r>
        <w:t>дезактивируемости</w:t>
      </w:r>
      <w:proofErr w:type="spellEnd"/>
    </w:p>
    <w:p w:rsidR="00000000" w:rsidRDefault="000C5A12">
      <w:pPr>
        <w:ind w:firstLine="284"/>
        <w:jc w:val="both"/>
      </w:pPr>
      <w:r>
        <w:t>НРБ-76/87 Нормы радиационной безопасности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center"/>
        <w:rPr>
          <w:b/>
        </w:rPr>
      </w:pPr>
      <w:r>
        <w:rPr>
          <w:b/>
        </w:rPr>
        <w:t>3 ОСНОВНЫЕ ТЕРМИНЫ И ОПРЕДЕЛЕНИЯ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>3.1 В настоящем стандарте применяют следующий термин:</w:t>
      </w:r>
    </w:p>
    <w:p w:rsidR="00000000" w:rsidRDefault="000C5A12">
      <w:pPr>
        <w:ind w:firstLine="284"/>
        <w:jc w:val="both"/>
      </w:pPr>
      <w:r>
        <w:t>Аварийно-спасательный инструмент - инструмент, применяемый при ведении работ, направленных на извлечение (разблокирование) пострадавших, при выполнении аварийно-спасательных и других неотложных работ в условиях чрезвычайной ситуации.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center"/>
        <w:rPr>
          <w:b/>
        </w:rPr>
      </w:pPr>
      <w:r>
        <w:rPr>
          <w:b/>
        </w:rPr>
        <w:t>4 ХАРАКТЕРИСТИКИ (СВОЙСТВА)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>4.1 Требования назначения</w:t>
      </w:r>
    </w:p>
    <w:p w:rsidR="00000000" w:rsidRDefault="000C5A12">
      <w:pPr>
        <w:ind w:firstLine="284"/>
        <w:jc w:val="both"/>
        <w:rPr>
          <w:i/>
        </w:rPr>
      </w:pPr>
      <w:r>
        <w:t xml:space="preserve">4.1.1 </w:t>
      </w:r>
      <w:r>
        <w:rPr>
          <w:i/>
        </w:rPr>
        <w:t>Требования к производительности</w:t>
      </w:r>
    </w:p>
    <w:p w:rsidR="00000000" w:rsidRDefault="000C5A12">
      <w:pPr>
        <w:pStyle w:val="2"/>
      </w:pPr>
      <w:r>
        <w:t>Треб</w:t>
      </w:r>
      <w:r>
        <w:t>ования к производительности являются специфическими требованиями, определяющими основные технические показатели соответственно предназначению средства и определяются в технических условиях (ТУ) на его производство (ТЗ на разработку).</w:t>
      </w:r>
    </w:p>
    <w:p w:rsidR="00000000" w:rsidRDefault="000C5A12">
      <w:pPr>
        <w:ind w:firstLine="284"/>
        <w:jc w:val="both"/>
      </w:pPr>
      <w:r>
        <w:t>К основным техническим показателям аварийно-спасательного инструмента, определяемым ТУ (ТЗ) в соответствии с основным назначением образца, относятся следующие:</w:t>
      </w:r>
    </w:p>
    <w:p w:rsidR="00000000" w:rsidRDefault="000C5A12">
      <w:pPr>
        <w:ind w:firstLine="284"/>
        <w:jc w:val="both"/>
      </w:pPr>
      <w:r>
        <w:t>толщина разрезаемого стального (Ст3) листа, скорость резания (метры в минуту), диаметр отрезаемого прутка арматуры (ми</w:t>
      </w:r>
      <w:r>
        <w:t>ллиметры), рабочий ход (миллиметры) и марка арматурной стали - для ножниц;</w:t>
      </w:r>
    </w:p>
    <w:p w:rsidR="00000000" w:rsidRDefault="000C5A12">
      <w:pPr>
        <w:ind w:firstLine="284"/>
        <w:jc w:val="both"/>
      </w:pPr>
      <w:r>
        <w:t>мощность на шпинделе (ватты), диаметр отрезного диска (сантиметр), скорость резания прутков стали (штук в минуту) с указанием диаметра и марки стали - для отрезных машин;</w:t>
      </w:r>
    </w:p>
    <w:p w:rsidR="00000000" w:rsidRDefault="000C5A12">
      <w:pPr>
        <w:ind w:firstLine="284"/>
        <w:jc w:val="both"/>
      </w:pPr>
      <w:r>
        <w:t>энергия удара (джоули), частота ударов (герцы) - для молотков (ломов);</w:t>
      </w:r>
    </w:p>
    <w:p w:rsidR="00000000" w:rsidRDefault="000C5A12">
      <w:pPr>
        <w:ind w:firstLine="284"/>
        <w:jc w:val="both"/>
      </w:pPr>
      <w:r>
        <w:t>энергия удара (джоули), скорость бурения (пробивки) отверстия (сантиметры в минуту) с указанием марки бетона, диаметра пробиваемого отверстия (миллиметры), максимальная глубина бурения (сантиметр</w:t>
      </w:r>
      <w:r>
        <w:t>ы) - для перфораторов;</w:t>
      </w:r>
    </w:p>
    <w:p w:rsidR="00000000" w:rsidRDefault="000C5A12">
      <w:pPr>
        <w:ind w:firstLine="284"/>
        <w:jc w:val="both"/>
      </w:pPr>
      <w:r>
        <w:t>тяговое усилие (ньютоны), рабочая длина тягового троса (метры), скорость подъема (метры в минуту) - для барабанных лебедок;</w:t>
      </w:r>
    </w:p>
    <w:p w:rsidR="00000000" w:rsidRDefault="000C5A12">
      <w:pPr>
        <w:ind w:firstLine="284"/>
        <w:jc w:val="both"/>
      </w:pPr>
      <w:r>
        <w:t>рабочая длина пильной шины (сантиметры), производительность пиления по влажной ели диаметром 20-30 см (миллиметры в секунду) - для цепных пил по дереву;</w:t>
      </w:r>
    </w:p>
    <w:p w:rsidR="00000000" w:rsidRDefault="000C5A12">
      <w:pPr>
        <w:ind w:firstLine="284"/>
        <w:jc w:val="both"/>
      </w:pPr>
      <w:r>
        <w:t>давление жидкости (</w:t>
      </w:r>
      <w:proofErr w:type="spellStart"/>
      <w:r>
        <w:t>мегапаскали</w:t>
      </w:r>
      <w:proofErr w:type="spellEnd"/>
      <w:r>
        <w:t xml:space="preserve">), раздвигающее/тянущее усилие (ньютоны), рабочий ход (сантиметры) и его скорость (сантиметры в минуту), минимальный размер (сантиметры) - для </w:t>
      </w:r>
      <w:proofErr w:type="spellStart"/>
      <w:r>
        <w:t>гидроцилиндров</w:t>
      </w:r>
      <w:proofErr w:type="spellEnd"/>
      <w:r>
        <w:t xml:space="preserve"> (стоек);</w:t>
      </w:r>
    </w:p>
    <w:p w:rsidR="00000000" w:rsidRDefault="000C5A12">
      <w:pPr>
        <w:ind w:firstLine="284"/>
        <w:jc w:val="both"/>
      </w:pPr>
      <w:r>
        <w:t>разжимающее/тян</w:t>
      </w:r>
      <w:r>
        <w:t>ущее усилие (ньютоны), усилие резания максимальное (ньютоны), рабочий ход на концах губок (миллиметры), скорость резания/разжимания (миллиметры в секунду), максимальный диаметр перерезаемого прутка (миллиметры), толщина разрезаемого листа (миллиметры), марка стали - для гидравлических разжимов (резаков);</w:t>
      </w:r>
    </w:p>
    <w:p w:rsidR="00000000" w:rsidRDefault="000C5A12">
      <w:pPr>
        <w:ind w:firstLine="284"/>
        <w:jc w:val="both"/>
      </w:pPr>
      <w:r>
        <w:t>толщина разрезаемого стального (Ст3) листа (миллиметры), скорость резания (миллиметры в секунду) - для установок газопламенной и электрорезки и сварки.</w:t>
      </w:r>
    </w:p>
    <w:p w:rsidR="00000000" w:rsidRDefault="000C5A12">
      <w:pPr>
        <w:ind w:firstLine="284"/>
        <w:jc w:val="both"/>
      </w:pPr>
      <w:r>
        <w:lastRenderedPageBreak/>
        <w:t xml:space="preserve">Для станций </w:t>
      </w:r>
      <w:proofErr w:type="spellStart"/>
      <w:r>
        <w:t>энергообеспечения</w:t>
      </w:r>
      <w:proofErr w:type="spellEnd"/>
      <w:r>
        <w:t xml:space="preserve"> механизированного инстру</w:t>
      </w:r>
      <w:r>
        <w:t>мента в ТУ (ТЗ) должны быть заданы:</w:t>
      </w:r>
    </w:p>
    <w:p w:rsidR="00000000" w:rsidRDefault="000C5A12">
      <w:pPr>
        <w:ind w:firstLine="284"/>
        <w:jc w:val="both"/>
      </w:pPr>
      <w:r>
        <w:t>число одновременно подключаемых инструментов;</w:t>
      </w:r>
    </w:p>
    <w:p w:rsidR="00000000" w:rsidRDefault="000C5A12">
      <w:pPr>
        <w:ind w:firstLine="284"/>
        <w:jc w:val="both"/>
      </w:pPr>
      <w:r>
        <w:t>номинальная мощность (ватты), рабочее напряжение (вольты) - для электростанций;</w:t>
      </w:r>
    </w:p>
    <w:p w:rsidR="00000000" w:rsidRDefault="000C5A12">
      <w:pPr>
        <w:ind w:firstLine="284"/>
        <w:jc w:val="both"/>
      </w:pPr>
      <w:r>
        <w:t>создаваемое рабочее давление (</w:t>
      </w:r>
      <w:proofErr w:type="spellStart"/>
      <w:r>
        <w:t>мегапаскали</w:t>
      </w:r>
      <w:proofErr w:type="spellEnd"/>
      <w:r>
        <w:t>) - для компрессорных и гидравлических станций.</w:t>
      </w:r>
    </w:p>
    <w:p w:rsidR="00000000" w:rsidRDefault="000C5A12">
      <w:pPr>
        <w:ind w:firstLine="284"/>
        <w:jc w:val="both"/>
      </w:pPr>
      <w:r>
        <w:t>4.1.2 Требования по совместимости</w:t>
      </w:r>
    </w:p>
    <w:p w:rsidR="00000000" w:rsidRDefault="000C5A12">
      <w:pPr>
        <w:ind w:firstLine="284"/>
        <w:jc w:val="both"/>
      </w:pPr>
      <w:r>
        <w:t xml:space="preserve">Инструменты одной группы (одного вида </w:t>
      </w:r>
      <w:proofErr w:type="spellStart"/>
      <w:r>
        <w:t>энергообеспечения</w:t>
      </w:r>
      <w:proofErr w:type="spellEnd"/>
      <w:r>
        <w:t>) должны быть полностью совместимы, т. е. работать от одного напряжения (давления), иметь одинаковые разъемы кабелей, шлангов.</w:t>
      </w:r>
    </w:p>
    <w:p w:rsidR="00000000" w:rsidRDefault="000C5A12">
      <w:pPr>
        <w:ind w:firstLine="284"/>
        <w:jc w:val="both"/>
      </w:pPr>
      <w:r>
        <w:t>Инструменты разных групп должны допускать воз</w:t>
      </w:r>
      <w:r>
        <w:t>можность совместной работы. Исключение составляет установка газопламенной резки.</w:t>
      </w:r>
    </w:p>
    <w:p w:rsidR="00000000" w:rsidRDefault="000C5A12">
      <w:pPr>
        <w:ind w:firstLine="284"/>
        <w:jc w:val="both"/>
      </w:pPr>
      <w:r>
        <w:t>4.2 Требования надежности</w:t>
      </w:r>
    </w:p>
    <w:p w:rsidR="00000000" w:rsidRDefault="000C5A12">
      <w:pPr>
        <w:ind w:firstLine="284"/>
        <w:jc w:val="both"/>
      </w:pPr>
      <w:r>
        <w:t>4.2.1 Наработка на отказ и ресурс до первого текущего ремонта задаются в общих требованиях к виду инструмента.</w:t>
      </w:r>
    </w:p>
    <w:p w:rsidR="00000000" w:rsidRDefault="000C5A12">
      <w:pPr>
        <w:ind w:firstLine="284"/>
        <w:jc w:val="both"/>
      </w:pPr>
      <w:r>
        <w:t>4.2.2 Время непрерывной безотказной работы - не менее 150 ч;</w:t>
      </w:r>
    </w:p>
    <w:p w:rsidR="00000000" w:rsidRDefault="000C5A12">
      <w:pPr>
        <w:ind w:firstLine="284"/>
        <w:jc w:val="both"/>
      </w:pPr>
      <w:r>
        <w:t>4.2.3 Коэффициент оперативной готовности - не менее 0,98.</w:t>
      </w:r>
    </w:p>
    <w:p w:rsidR="00000000" w:rsidRDefault="000C5A12">
      <w:pPr>
        <w:ind w:firstLine="284"/>
        <w:jc w:val="both"/>
      </w:pPr>
      <w:r>
        <w:t>4.2.4 Вероятность безотказной работы - не менее 0,99.</w:t>
      </w:r>
    </w:p>
    <w:p w:rsidR="00000000" w:rsidRDefault="000C5A12">
      <w:pPr>
        <w:ind w:firstLine="284"/>
        <w:jc w:val="both"/>
      </w:pPr>
      <w:r>
        <w:t>4.3 Требования стойкости к внешним воздействиям, живучести</w:t>
      </w:r>
    </w:p>
    <w:p w:rsidR="00000000" w:rsidRDefault="000C5A12">
      <w:pPr>
        <w:ind w:firstLine="284"/>
        <w:jc w:val="both"/>
        <w:rPr>
          <w:i/>
        </w:rPr>
      </w:pPr>
      <w:r>
        <w:t xml:space="preserve">4.3.1 </w:t>
      </w:r>
      <w:r>
        <w:rPr>
          <w:i/>
        </w:rPr>
        <w:t>Требования стойкости к механическим воздействиям</w:t>
      </w:r>
    </w:p>
    <w:p w:rsidR="00000000" w:rsidRDefault="000C5A12">
      <w:pPr>
        <w:ind w:firstLine="284"/>
        <w:jc w:val="both"/>
      </w:pPr>
      <w:r>
        <w:t>Инструм</w:t>
      </w:r>
      <w:r>
        <w:t xml:space="preserve">ент должен выдерживать, не теряя своих технических характеристик, синусоидальную вибрацию частотой от 1 до 300 Гц, с амплитудой ускорения 4 </w:t>
      </w:r>
      <w:proofErr w:type="spellStart"/>
      <w:r>
        <w:t>g</w:t>
      </w:r>
      <w:proofErr w:type="spellEnd"/>
      <w:r>
        <w:t xml:space="preserve">, однократные удары длительностью от 1 до 5 мс и ускорением 100 </w:t>
      </w:r>
      <w:proofErr w:type="spellStart"/>
      <w:r>
        <w:t>g</w:t>
      </w:r>
      <w:proofErr w:type="spellEnd"/>
      <w:r>
        <w:t xml:space="preserve">, многократные - длительностью 15 мс и ускорением 15 </w:t>
      </w:r>
      <w:proofErr w:type="spellStart"/>
      <w:r>
        <w:t>g</w:t>
      </w:r>
      <w:proofErr w:type="spellEnd"/>
      <w:r>
        <w:t>.</w:t>
      </w:r>
    </w:p>
    <w:p w:rsidR="00000000" w:rsidRDefault="000C5A12">
      <w:pPr>
        <w:ind w:firstLine="284"/>
        <w:jc w:val="both"/>
      </w:pPr>
      <w:r>
        <w:t>Требования по устойчивости оборудования к механическому воздействию устанавливаются в ТЗ на разработку (модернизацию) образцов, в стандартах и технических условиях на конкретные виды оборудования в соответствии с действующими стандартами, с учетом ре</w:t>
      </w:r>
      <w:r>
        <w:t>альных условий применения.</w:t>
      </w:r>
    </w:p>
    <w:p w:rsidR="00000000" w:rsidRDefault="000C5A12">
      <w:pPr>
        <w:ind w:firstLine="284"/>
        <w:jc w:val="both"/>
        <w:rPr>
          <w:i/>
        </w:rPr>
      </w:pPr>
      <w:r>
        <w:t xml:space="preserve">4.3.2 </w:t>
      </w:r>
      <w:r>
        <w:rPr>
          <w:i/>
        </w:rPr>
        <w:t>Требования стойкости к климатическим воздействиям</w:t>
      </w:r>
    </w:p>
    <w:p w:rsidR="00000000" w:rsidRDefault="000C5A12">
      <w:pPr>
        <w:pStyle w:val="2"/>
      </w:pPr>
      <w:r>
        <w:t>Вид климатического исполнения оборудования В1 по ГОСТ 15150.</w:t>
      </w:r>
    </w:p>
    <w:p w:rsidR="00000000" w:rsidRDefault="000C5A12">
      <w:pPr>
        <w:ind w:firstLine="284"/>
        <w:jc w:val="both"/>
      </w:pPr>
      <w:r>
        <w:t>Вид климатического исполнения инструмента - В1, В5.</w:t>
      </w:r>
    </w:p>
    <w:p w:rsidR="00000000" w:rsidRDefault="000C5A12">
      <w:pPr>
        <w:ind w:firstLine="284"/>
        <w:jc w:val="both"/>
      </w:pPr>
      <w:r>
        <w:t xml:space="preserve">Работоспособность инструмента и оборудования должна сохраняться после транспортирования воздушным транспортом при пониженном давлении (10,7 кПа). Нижний предел давления, при котором должна сохраняться работоспособность - 53,5 кПа (400 мм </w:t>
      </w:r>
      <w:proofErr w:type="spellStart"/>
      <w:r>
        <w:t>рт</w:t>
      </w:r>
      <w:proofErr w:type="spellEnd"/>
      <w:r>
        <w:t>. ст.). Скорость изменения давления - 5,3 кПа/с.</w:t>
      </w:r>
    </w:p>
    <w:p w:rsidR="00000000" w:rsidRDefault="000C5A12">
      <w:pPr>
        <w:ind w:firstLine="284"/>
        <w:jc w:val="both"/>
      </w:pPr>
      <w:r>
        <w:t>Работоспособность инструмен</w:t>
      </w:r>
      <w:r>
        <w:t>та должна сохраняться после погружения в воду на глубину 1,5 м в течение 30 мин.</w:t>
      </w:r>
    </w:p>
    <w:p w:rsidR="00000000" w:rsidRDefault="000C5A12">
      <w:pPr>
        <w:ind w:firstLine="284"/>
        <w:jc w:val="both"/>
        <w:rPr>
          <w:i/>
        </w:rPr>
      </w:pPr>
      <w:r>
        <w:t xml:space="preserve">4.3.3 </w:t>
      </w:r>
      <w:r>
        <w:rPr>
          <w:i/>
        </w:rPr>
        <w:t>Требования стойкости к специальным воздействиям</w:t>
      </w:r>
    </w:p>
    <w:p w:rsidR="00000000" w:rsidRDefault="000C5A12">
      <w:pPr>
        <w:pStyle w:val="2"/>
      </w:pPr>
      <w:r>
        <w:t>Стойкость инструмента и оборудования к опасным и химически активным веществам (ГОСТ 12.0.003) должна превышать нормы стойкости средств индивидуальной защиты (ГОСТ 12.4.064).</w:t>
      </w:r>
    </w:p>
    <w:p w:rsidR="00000000" w:rsidRDefault="000C5A12">
      <w:pPr>
        <w:ind w:firstLine="284"/>
        <w:jc w:val="both"/>
      </w:pPr>
      <w:r>
        <w:t>Нормы стойкости приведены в приложении Б.</w:t>
      </w:r>
    </w:p>
    <w:p w:rsidR="00000000" w:rsidRDefault="000C5A12">
      <w:pPr>
        <w:ind w:firstLine="284"/>
        <w:jc w:val="both"/>
      </w:pPr>
      <w:r>
        <w:t xml:space="preserve">4.3.4 Требования стойкости к воздействию опасных факторов пожара, а также требования безопасности применения в условиях пожароопасной среды должны быть изложены </w:t>
      </w:r>
      <w:r>
        <w:t>в стандартах и технических условиях на конкретные виды инструмента.</w:t>
      </w:r>
    </w:p>
    <w:p w:rsidR="00000000" w:rsidRDefault="000C5A12">
      <w:pPr>
        <w:ind w:firstLine="284"/>
        <w:jc w:val="both"/>
      </w:pPr>
      <w:r>
        <w:t>4.4 Требования эргономики</w:t>
      </w:r>
    </w:p>
    <w:p w:rsidR="00000000" w:rsidRDefault="000C5A12">
      <w:pPr>
        <w:ind w:firstLine="284"/>
        <w:jc w:val="both"/>
      </w:pPr>
      <w:r>
        <w:t>Инструмент и оборудование должны соответствовать системе стандартов эргономических требований и эргономического обеспечения (ГОСТ 20.39.108). Инструмент должен иметь удобные ручки для работы и переноса. Ручной инструмент при работе должен быть уравновешен.</w:t>
      </w:r>
    </w:p>
    <w:p w:rsidR="00000000" w:rsidRDefault="000C5A12">
      <w:pPr>
        <w:ind w:firstLine="284"/>
        <w:jc w:val="both"/>
      </w:pPr>
      <w:r>
        <w:t>Все органы управления должны ярко выделяться и должны быть снабжены мнемоническими указателями, не допускающими двоякого толкования.</w:t>
      </w:r>
    </w:p>
    <w:p w:rsidR="00000000" w:rsidRDefault="000C5A12">
      <w:pPr>
        <w:ind w:firstLine="284"/>
        <w:jc w:val="both"/>
      </w:pPr>
      <w:r>
        <w:t>Инструмент должен быть окраш</w:t>
      </w:r>
      <w:r>
        <w:t>ен в яркий цвет, выделяющий его принадлежность к классу аварийно-спасательных технических средств.</w:t>
      </w:r>
    </w:p>
    <w:p w:rsidR="00000000" w:rsidRDefault="000C5A12">
      <w:pPr>
        <w:ind w:firstLine="284"/>
        <w:jc w:val="both"/>
      </w:pPr>
      <w:r>
        <w:t>4.5 Требования технологичности</w:t>
      </w:r>
    </w:p>
    <w:p w:rsidR="00000000" w:rsidRDefault="000C5A12">
      <w:pPr>
        <w:ind w:firstLine="284"/>
        <w:jc w:val="both"/>
      </w:pPr>
      <w:r>
        <w:t>Технология производства инструмента и оборудования должна быть доступной для производства на машиностроительных заводах широкого профиля.</w:t>
      </w:r>
    </w:p>
    <w:p w:rsidR="00000000" w:rsidRDefault="000C5A12">
      <w:pPr>
        <w:ind w:firstLine="284"/>
        <w:jc w:val="both"/>
      </w:pPr>
      <w:r>
        <w:t>4.6 Требование сертификации</w:t>
      </w:r>
    </w:p>
    <w:p w:rsidR="00000000" w:rsidRDefault="000C5A12">
      <w:pPr>
        <w:ind w:firstLine="284"/>
        <w:jc w:val="both"/>
      </w:pPr>
      <w:r>
        <w:t xml:space="preserve">Аварийно-спасательный инструмент и оборудование его </w:t>
      </w:r>
      <w:proofErr w:type="spellStart"/>
      <w:r>
        <w:t>энергообеспечения</w:t>
      </w:r>
      <w:proofErr w:type="spellEnd"/>
      <w:r>
        <w:t xml:space="preserve"> должны иметь сертификат соответствия.</w:t>
      </w:r>
    </w:p>
    <w:p w:rsidR="00000000" w:rsidRDefault="000C5A12">
      <w:pPr>
        <w:ind w:firstLine="284"/>
        <w:jc w:val="both"/>
      </w:pPr>
      <w:r>
        <w:t>4.7 Конструктивные требования</w:t>
      </w:r>
    </w:p>
    <w:p w:rsidR="00000000" w:rsidRDefault="000C5A12">
      <w:pPr>
        <w:ind w:firstLine="284"/>
        <w:jc w:val="both"/>
      </w:pPr>
      <w:r>
        <w:t>4.7.1 Конструкция инструмента и оборудования должна предусматривать возможност</w:t>
      </w:r>
      <w:r>
        <w:t>ь быстрой замены отказавшей детали, а для деталей, подверженных повышенной вероятности износа, возможность их замены с помощью ручного немеханизированного инструмента.</w:t>
      </w:r>
    </w:p>
    <w:p w:rsidR="00000000" w:rsidRDefault="000C5A12">
      <w:pPr>
        <w:ind w:firstLine="284"/>
        <w:jc w:val="both"/>
      </w:pPr>
      <w:r>
        <w:t>4.7.2 Масса ручного механизированного инструмента не должна превышать 25 кг. Исключение составляют инструменты, повышенная масса которых является полезным свойством (ломы, перфораторы и т. п.).</w:t>
      </w:r>
    </w:p>
    <w:p w:rsidR="00000000" w:rsidRDefault="000C5A12">
      <w:pPr>
        <w:ind w:firstLine="284"/>
        <w:jc w:val="both"/>
      </w:pPr>
      <w:r>
        <w:t>Для тяжелых инструментов необходимо предусматривать дополнительные элементы (крепежные ремни, подставки и т. п.), облегчающие их применение.</w:t>
      </w:r>
    </w:p>
    <w:p w:rsidR="00000000" w:rsidRDefault="000C5A12">
      <w:pPr>
        <w:ind w:firstLine="284"/>
        <w:jc w:val="both"/>
      </w:pPr>
      <w:r>
        <w:t>4.7.3 Кон</w:t>
      </w:r>
      <w:r>
        <w:t xml:space="preserve">струкция стыковочных узлов должна обеспечивать надежное и быстрое соединение вручную, при этом допускается применение резьбовых соединений только в крайних случаях. Предпочтительный вид соединений - </w:t>
      </w:r>
      <w:proofErr w:type="spellStart"/>
      <w:r>
        <w:t>байонетный</w:t>
      </w:r>
      <w:proofErr w:type="spellEnd"/>
      <w:r>
        <w:t>.</w:t>
      </w:r>
    </w:p>
    <w:p w:rsidR="00000000" w:rsidRDefault="000C5A12">
      <w:pPr>
        <w:ind w:firstLine="284"/>
        <w:jc w:val="both"/>
      </w:pPr>
      <w:r>
        <w:t>4.7.4 При сохранении универсальности соединительных кабелей, шлангов и т. п. должна быть полностью исключена возможность неправильной сборки.</w:t>
      </w:r>
    </w:p>
    <w:p w:rsidR="00000000" w:rsidRDefault="000C5A12">
      <w:pPr>
        <w:ind w:firstLine="284"/>
        <w:jc w:val="both"/>
      </w:pPr>
      <w:r>
        <w:t xml:space="preserve">4.7.5 Конструкция инструментов должна быть подчинена принципу блочно-модульного построения и </w:t>
      </w:r>
      <w:proofErr w:type="spellStart"/>
      <w:r>
        <w:t>агрегатирования</w:t>
      </w:r>
      <w:proofErr w:type="spellEnd"/>
      <w:r>
        <w:t>, таким образом, чтобы отдельные узлы и детали, вып</w:t>
      </w:r>
      <w:r>
        <w:t>олняющие одинаковые функции в различных устройствах, имели одинаковую конструкцию.</w:t>
      </w:r>
    </w:p>
    <w:p w:rsidR="00000000" w:rsidRDefault="000C5A12">
      <w:pPr>
        <w:ind w:firstLine="284"/>
        <w:jc w:val="both"/>
      </w:pPr>
      <w:r>
        <w:t>4.7.6 Конструкция органов управления инструментом и оборудованием должна учитывать возможность их использования оператором в защитной одежде.</w:t>
      </w:r>
    </w:p>
    <w:p w:rsidR="00000000" w:rsidRDefault="000C5A12">
      <w:pPr>
        <w:ind w:firstLine="284"/>
        <w:jc w:val="both"/>
      </w:pPr>
      <w:r>
        <w:t>Как правило, органы управления должны располагаться непосредственно на инструменте и автоматически отключать его при прекращении воздействия на них оператора.</w:t>
      </w:r>
    </w:p>
    <w:p w:rsidR="00000000" w:rsidRDefault="000C5A12">
      <w:pPr>
        <w:ind w:firstLine="284"/>
        <w:jc w:val="both"/>
      </w:pPr>
      <w:r>
        <w:t xml:space="preserve">Органы управления </w:t>
      </w:r>
      <w:proofErr w:type="spellStart"/>
      <w:r>
        <w:t>гидроинструмента</w:t>
      </w:r>
      <w:proofErr w:type="spellEnd"/>
      <w:r>
        <w:t xml:space="preserve"> двойного действия должны располагаться в самом инструменте, обеспечивать оперативное управлен</w:t>
      </w:r>
      <w:r>
        <w:t>ие и иметь самовозврат исполнительного механизма.</w:t>
      </w:r>
    </w:p>
    <w:p w:rsidR="00000000" w:rsidRDefault="000C5A12">
      <w:pPr>
        <w:ind w:firstLine="284"/>
        <w:jc w:val="both"/>
      </w:pPr>
      <w:r>
        <w:t>4.7.7 Конструкции аварийно-спасательного инструмента и оборудования должны соответствовать требованиям ГОСТ 12.2.007.7, ГОСТ 12.2.010, ГОСТ 12.2.013.0, ГОСТ 12.2.013.1, ГОСТ 12.2.013.6, ГОСТ 12.2.013.8, ГОСТ 12.2.086.</w:t>
      </w:r>
    </w:p>
    <w:p w:rsidR="00000000" w:rsidRDefault="000C5A12">
      <w:pPr>
        <w:ind w:firstLine="284"/>
        <w:jc w:val="both"/>
      </w:pPr>
      <w:r>
        <w:t xml:space="preserve">Требования по безопасности на конкретный инструмент и оборудование его </w:t>
      </w:r>
      <w:proofErr w:type="spellStart"/>
      <w:r>
        <w:t>энергообеспечения</w:t>
      </w:r>
      <w:proofErr w:type="spellEnd"/>
      <w:r>
        <w:t xml:space="preserve"> устанавливают в общих технических условиях (технических условиях) на них.</w:t>
      </w:r>
    </w:p>
    <w:p w:rsidR="00000000" w:rsidRDefault="000C5A12">
      <w:pPr>
        <w:ind w:firstLine="284"/>
        <w:jc w:val="both"/>
      </w:pPr>
      <w:r>
        <w:t>4.8 Требования к электропитанию</w:t>
      </w:r>
    </w:p>
    <w:p w:rsidR="00000000" w:rsidRDefault="000C5A12">
      <w:pPr>
        <w:ind w:firstLine="284"/>
        <w:jc w:val="both"/>
      </w:pPr>
      <w:r>
        <w:t>Конструкции электроинструмента и оборудования дол</w:t>
      </w:r>
      <w:r>
        <w:t>жны обеспечивать возможность осуществления питания от электросетей промышленного назначения и жилых домов, а также от автономных электросетей номинальным напряжением 380/220 В, частотой 50 Гц.</w:t>
      </w:r>
    </w:p>
    <w:p w:rsidR="00000000" w:rsidRDefault="000C5A12">
      <w:pPr>
        <w:ind w:firstLine="284"/>
        <w:jc w:val="both"/>
      </w:pPr>
      <w:r>
        <w:t>Качество электроэнергии, вырабатываемой передвижными электростанциями, должно соответствовать требованиям ГОСТ 13109.</w:t>
      </w:r>
    </w:p>
    <w:p w:rsidR="00000000" w:rsidRDefault="000C5A12">
      <w:pPr>
        <w:ind w:firstLine="284"/>
        <w:jc w:val="both"/>
      </w:pPr>
      <w:r>
        <w:t>4.9 Требования по электромагнитной совместимости</w:t>
      </w:r>
    </w:p>
    <w:p w:rsidR="00000000" w:rsidRDefault="000C5A12">
      <w:pPr>
        <w:ind w:firstLine="284"/>
        <w:jc w:val="both"/>
      </w:pPr>
      <w:r>
        <w:t xml:space="preserve">Электроинструменты и оборудование должны быть сертифицированы на соответствие требованиям по </w:t>
      </w:r>
      <w:proofErr w:type="spellStart"/>
      <w:r>
        <w:t>помехоэмиссии</w:t>
      </w:r>
      <w:proofErr w:type="spellEnd"/>
      <w:r>
        <w:t xml:space="preserve"> и помехоустойчивости, устанавливаемым в ТЗ на</w:t>
      </w:r>
      <w:r>
        <w:t xml:space="preserve"> разработку (модернизацию) образцов, в стандартах и технических условиях на конкретные группы и виды инструмента и оборудования.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center"/>
        <w:rPr>
          <w:b/>
        </w:rPr>
      </w:pPr>
      <w:r>
        <w:rPr>
          <w:b/>
        </w:rPr>
        <w:t>5 ТРЕБОВАНИЯ К СЫРЬЮ, МАТЕРИАЛАМ, ПОКУПНЫМ ИЗДЕЛИЯМ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 xml:space="preserve">Для изготовления инструмента и оборудования для его </w:t>
      </w:r>
      <w:proofErr w:type="spellStart"/>
      <w:r>
        <w:t>энергообеспечения</w:t>
      </w:r>
      <w:proofErr w:type="spellEnd"/>
      <w:r>
        <w:t xml:space="preserve"> следует применять сырье, покупные изделия, жидкости, краски, смазки, производимые только предприятиями России.</w:t>
      </w:r>
    </w:p>
    <w:p w:rsidR="00000000" w:rsidRDefault="000C5A12">
      <w:pPr>
        <w:ind w:firstLine="284"/>
        <w:jc w:val="both"/>
      </w:pPr>
      <w:r>
        <w:t>Применяемые полимерные материалы должны соответствовать ГОСТ 27708.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center"/>
        <w:rPr>
          <w:b/>
        </w:rPr>
      </w:pPr>
      <w:r>
        <w:rPr>
          <w:b/>
        </w:rPr>
        <w:t>6 КОМПЛЕКТНОСТЬ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 xml:space="preserve">Инструмент и оборудование его </w:t>
      </w:r>
      <w:proofErr w:type="spellStart"/>
      <w:r>
        <w:t>энергообеспечения</w:t>
      </w:r>
      <w:proofErr w:type="spellEnd"/>
      <w:r>
        <w:t xml:space="preserve"> поставляют пот</w:t>
      </w:r>
      <w:r>
        <w:t>ребителю в виде комплектов, к которым прилагают:</w:t>
      </w:r>
    </w:p>
    <w:p w:rsidR="00000000" w:rsidRDefault="000C5A12">
      <w:pPr>
        <w:ind w:firstLine="284"/>
        <w:jc w:val="both"/>
      </w:pPr>
      <w:r>
        <w:t>- комплект запасных частей;</w:t>
      </w:r>
    </w:p>
    <w:p w:rsidR="00000000" w:rsidRDefault="000C5A12">
      <w:pPr>
        <w:ind w:firstLine="284"/>
        <w:jc w:val="both"/>
      </w:pPr>
      <w:r>
        <w:t>- комплект инструмента для текущего ремонта;</w:t>
      </w:r>
    </w:p>
    <w:p w:rsidR="00000000" w:rsidRDefault="000C5A12">
      <w:pPr>
        <w:ind w:firstLine="284"/>
        <w:jc w:val="both"/>
      </w:pPr>
      <w:r>
        <w:t>- документацию (паспорт или формуляр, техническое описание, инструкцию по эксплуатации).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center"/>
        <w:rPr>
          <w:b/>
        </w:rPr>
      </w:pPr>
      <w:r>
        <w:rPr>
          <w:b/>
        </w:rPr>
        <w:t>7 МАРКИРОВКА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>7.1 Маркировка должна быть нанесена как на таре (маркировка комплекта), так и на каждом изделии.</w:t>
      </w:r>
    </w:p>
    <w:p w:rsidR="00000000" w:rsidRDefault="000C5A12">
      <w:pPr>
        <w:ind w:firstLine="284"/>
        <w:jc w:val="both"/>
      </w:pPr>
      <w:r>
        <w:t>7.2 На каждом изделии выбивают штамп. На таре наносят несмываемой краской маркировку по трафарету.</w:t>
      </w:r>
    </w:p>
    <w:p w:rsidR="00000000" w:rsidRDefault="000C5A12">
      <w:pPr>
        <w:ind w:firstLine="284"/>
        <w:jc w:val="both"/>
      </w:pPr>
      <w:r>
        <w:t>7.3 Содержание маркировки</w:t>
      </w:r>
    </w:p>
    <w:p w:rsidR="00000000" w:rsidRDefault="000C5A12">
      <w:pPr>
        <w:ind w:firstLine="284"/>
        <w:jc w:val="both"/>
      </w:pPr>
      <w:r>
        <w:t>7.3.1 Маркировка каждого изделия должна содержать:</w:t>
      </w:r>
    </w:p>
    <w:p w:rsidR="00000000" w:rsidRDefault="000C5A12">
      <w:pPr>
        <w:ind w:firstLine="284"/>
        <w:jc w:val="both"/>
      </w:pPr>
      <w:r>
        <w:t>- заводской н</w:t>
      </w:r>
      <w:r>
        <w:t>омер;</w:t>
      </w:r>
    </w:p>
    <w:p w:rsidR="00000000" w:rsidRDefault="000C5A12">
      <w:pPr>
        <w:ind w:firstLine="284"/>
        <w:jc w:val="both"/>
      </w:pPr>
      <w:r>
        <w:t>- шифр изделия;</w:t>
      </w:r>
    </w:p>
    <w:p w:rsidR="00000000" w:rsidRDefault="000C5A12">
      <w:pPr>
        <w:ind w:firstLine="284"/>
        <w:jc w:val="both"/>
      </w:pPr>
      <w:r>
        <w:t>- товарный знак изготовителя;</w:t>
      </w:r>
    </w:p>
    <w:p w:rsidR="00000000" w:rsidRDefault="000C5A12">
      <w:pPr>
        <w:ind w:firstLine="284"/>
        <w:jc w:val="both"/>
      </w:pPr>
      <w:r>
        <w:t>- дату изготовления.</w:t>
      </w:r>
    </w:p>
    <w:p w:rsidR="00000000" w:rsidRDefault="000C5A12">
      <w:pPr>
        <w:ind w:firstLine="284"/>
        <w:jc w:val="both"/>
      </w:pPr>
      <w:r>
        <w:t>7.3.2 Маркировка тары должна содержать:</w:t>
      </w:r>
    </w:p>
    <w:p w:rsidR="00000000" w:rsidRDefault="000C5A12">
      <w:pPr>
        <w:ind w:firstLine="284"/>
        <w:jc w:val="both"/>
      </w:pPr>
      <w:r>
        <w:t>- наименование комплекта;</w:t>
      </w:r>
    </w:p>
    <w:p w:rsidR="00000000" w:rsidRDefault="000C5A12">
      <w:pPr>
        <w:ind w:firstLine="284"/>
        <w:jc w:val="both"/>
      </w:pPr>
      <w:r>
        <w:t>- его состав;</w:t>
      </w:r>
    </w:p>
    <w:p w:rsidR="00000000" w:rsidRDefault="000C5A12">
      <w:pPr>
        <w:ind w:firstLine="284"/>
        <w:jc w:val="both"/>
      </w:pPr>
      <w:r>
        <w:t>- реквизиты завода-изготовителя;</w:t>
      </w:r>
    </w:p>
    <w:p w:rsidR="00000000" w:rsidRDefault="000C5A12">
      <w:pPr>
        <w:ind w:firstLine="284"/>
        <w:jc w:val="both"/>
      </w:pPr>
      <w:r>
        <w:t>- дату изготовления.</w:t>
      </w:r>
    </w:p>
    <w:p w:rsidR="00000000" w:rsidRDefault="000C5A12">
      <w:pPr>
        <w:ind w:firstLine="284"/>
        <w:jc w:val="both"/>
      </w:pPr>
      <w:r>
        <w:t>Маркировка тары - по ГОСТ 14192.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center"/>
        <w:rPr>
          <w:b/>
        </w:rPr>
      </w:pPr>
      <w:r>
        <w:rPr>
          <w:b/>
        </w:rPr>
        <w:t>8 УПАКОВКА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>8.1 Потребителю продукцию поставляют в консервирующей смазке. Тип смазки указывают в технических условиях. Инструмент перед эксплуатацией должен быть обезжирен, о чем в инструкции по эксплуатации делают запись.</w:t>
      </w:r>
    </w:p>
    <w:p w:rsidR="00000000" w:rsidRDefault="000C5A12">
      <w:pPr>
        <w:ind w:firstLine="284"/>
        <w:jc w:val="both"/>
      </w:pPr>
      <w:r>
        <w:t xml:space="preserve">8.2 Тара должна иметь приспособления для ее </w:t>
      </w:r>
      <w:proofErr w:type="spellStart"/>
      <w:r>
        <w:t>зача</w:t>
      </w:r>
      <w:r>
        <w:t>ливания</w:t>
      </w:r>
      <w:proofErr w:type="spellEnd"/>
      <w:r>
        <w:t xml:space="preserve"> при транспортировании автомобильным, железнодорожным или воздушным транспортом. Конструкция тары должна допускать ее многократное использование при рабочей эксплуатации комплектов.</w:t>
      </w:r>
    </w:p>
    <w:p w:rsidR="00000000" w:rsidRDefault="000C5A12">
      <w:pPr>
        <w:ind w:firstLine="284"/>
        <w:jc w:val="both"/>
      </w:pPr>
      <w:r>
        <w:t>8.3 Тарный контейнер должен допускать его размещение на стандартном поддоне для парашютирования.</w:t>
      </w:r>
    </w:p>
    <w:p w:rsidR="00000000" w:rsidRDefault="000C5A12">
      <w:pPr>
        <w:ind w:firstLine="284"/>
        <w:jc w:val="both"/>
      </w:pPr>
      <w:r>
        <w:t>8.4 Конструкция контейнера и способ упаковки в нем комплекта инструмента должны обеспечивать при его вскрытии удобный доступ ко всем находящимся в нем инструментам.</w:t>
      </w:r>
    </w:p>
    <w:p w:rsidR="00000000" w:rsidRDefault="000C5A12">
      <w:pPr>
        <w:ind w:firstLine="284"/>
        <w:jc w:val="both"/>
      </w:pPr>
      <w:r>
        <w:t>8.5 Масса снаряженного контейнера должна обеспечивать его пер</w:t>
      </w:r>
      <w:r>
        <w:t>емещение вручную, без применения подъемных механизмов. Допускается установка контейнера на колесах.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</w:p>
    <w:p w:rsidR="00000000" w:rsidRDefault="000C5A12">
      <w:pPr>
        <w:pStyle w:val="Heading"/>
        <w:ind w:firstLine="284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А</w:t>
      </w:r>
    </w:p>
    <w:p w:rsidR="00000000" w:rsidRDefault="000C5A12">
      <w:pPr>
        <w:pStyle w:val="Heading"/>
        <w:ind w:firstLine="284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(справочное)</w:t>
      </w:r>
    </w:p>
    <w:p w:rsidR="00000000" w:rsidRDefault="000C5A12">
      <w:pPr>
        <w:pStyle w:val="Heading"/>
        <w:ind w:firstLine="284"/>
        <w:jc w:val="right"/>
        <w:rPr>
          <w:rFonts w:ascii="Times New Roman" w:hAnsi="Times New Roman"/>
          <w:b w:val="0"/>
          <w:sz w:val="20"/>
        </w:rPr>
      </w:pPr>
    </w:p>
    <w:p w:rsidR="00000000" w:rsidRDefault="000C5A1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ПРИМЕРНЫЙ СОСТАВ ИНСТРУМЕНТА В КОМПЛЕКТАХ ПО ГРУППАМ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>Таблица 1- Инструмент с электроприводом</w:t>
      </w:r>
    </w:p>
    <w:p w:rsidR="00000000" w:rsidRDefault="000C5A12">
      <w:pPr>
        <w:ind w:firstLine="284"/>
      </w:pPr>
    </w:p>
    <w:tbl>
      <w:tblPr>
        <w:tblW w:w="0" w:type="auto"/>
        <w:tblInd w:w="180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970"/>
        <w:gridCol w:w="23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pPr>
              <w:jc w:val="center"/>
            </w:pPr>
            <w:r>
              <w:t>Вид инструмента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pPr>
              <w:jc w:val="center"/>
            </w:pPr>
            <w:r>
              <w:t>Типовые образцы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Машины отрезные дисковые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МЭС-2203, ИЭ-2203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Ножницы ручные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Молотки (ломы)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ИЭ-4211А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Перфораторы ручные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ИЭ-4709Б, ИЭ-4707А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Лебедки барабанные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ЛУР-05, ТЛ-9, ЛМ-05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Тали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 xml:space="preserve">Насосы </w:t>
            </w:r>
            <w:proofErr w:type="spellStart"/>
            <w:r>
              <w:t>погружные</w:t>
            </w:r>
            <w:proofErr w:type="spellEnd"/>
            <w:r>
              <w:t xml:space="preserve"> и перекачивающие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"Улитка", "Гном"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r>
              <w:t>Пилы цепные по дереву</w:t>
            </w:r>
          </w:p>
        </w:tc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pPr>
              <w:jc w:val="center"/>
            </w:pPr>
            <w:r>
              <w:t>-</w:t>
            </w:r>
          </w:p>
        </w:tc>
      </w:tr>
    </w:tbl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>Таб</w:t>
      </w:r>
      <w:r>
        <w:t xml:space="preserve">лица 2 - Инструмент с </w:t>
      </w:r>
      <w:proofErr w:type="spellStart"/>
      <w:r>
        <w:t>пневмоприводом</w:t>
      </w:r>
      <w:proofErr w:type="spellEnd"/>
    </w:p>
    <w:p w:rsidR="00000000" w:rsidRDefault="000C5A12">
      <w:pPr>
        <w:ind w:firstLine="284"/>
        <w:jc w:val="both"/>
      </w:pPr>
    </w:p>
    <w:tbl>
      <w:tblPr>
        <w:tblW w:w="0" w:type="auto"/>
        <w:tblInd w:w="180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970"/>
        <w:gridCol w:w="23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pPr>
              <w:jc w:val="center"/>
            </w:pPr>
            <w:r>
              <w:t>Вид инструмента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pPr>
              <w:jc w:val="center"/>
            </w:pPr>
            <w:r>
              <w:t>Типовые образцы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Машины отрезные дисковые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ИП-2203А, ИП-2018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Ножницы ручные</w:t>
            </w:r>
          </w:p>
        </w:tc>
        <w:tc>
          <w:tcPr>
            <w:tcW w:w="23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Молотки (ломы)</w:t>
            </w:r>
          </w:p>
        </w:tc>
        <w:tc>
          <w:tcPr>
            <w:tcW w:w="23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ИП-4609, МО-7П, МПС-2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r>
              <w:t>Перфораторы</w:t>
            </w:r>
          </w:p>
        </w:tc>
        <w:tc>
          <w:tcPr>
            <w:tcW w:w="2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r>
              <w:t>П163 (ПР-30)</w:t>
            </w:r>
          </w:p>
        </w:tc>
      </w:tr>
    </w:tbl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 xml:space="preserve">Таблица 3 - Ручной механизированный инструмент с </w:t>
      </w:r>
      <w:proofErr w:type="spellStart"/>
      <w:r>
        <w:t>мотоприводом</w:t>
      </w:r>
      <w:proofErr w:type="spellEnd"/>
    </w:p>
    <w:p w:rsidR="00000000" w:rsidRDefault="000C5A12">
      <w:pPr>
        <w:ind w:firstLine="284"/>
        <w:jc w:val="both"/>
      </w:pPr>
    </w:p>
    <w:tbl>
      <w:tblPr>
        <w:tblW w:w="0" w:type="auto"/>
        <w:tblInd w:w="180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970"/>
        <w:gridCol w:w="23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pPr>
              <w:jc w:val="center"/>
            </w:pPr>
            <w:r>
              <w:t>Вид инструмента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pPr>
              <w:jc w:val="center"/>
            </w:pPr>
            <w:r>
              <w:t>Типовые образцы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pStyle w:val="Preforma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Мотопилы</w:t>
            </w:r>
            <w:proofErr w:type="spellEnd"/>
            <w:r>
              <w:rPr>
                <w:rFonts w:ascii="Times New Roman" w:hAnsi="Times New Roman"/>
              </w:rPr>
              <w:t xml:space="preserve"> цепные по дереву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"Урал"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Машины отрезные дисковые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МПД-125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proofErr w:type="spellStart"/>
            <w:r>
              <w:t>Мотоперфораторы</w:t>
            </w:r>
            <w:proofErr w:type="spellEnd"/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МП-1 "Смена"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proofErr w:type="spellStart"/>
            <w:r>
              <w:t>Мотобетоноломы</w:t>
            </w:r>
            <w:proofErr w:type="spellEnd"/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ИМ-4606, С-406М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proofErr w:type="spellStart"/>
            <w:r>
              <w:t>Мотолебедки</w:t>
            </w:r>
            <w:proofErr w:type="spellEnd"/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МЛ-200М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r>
              <w:t xml:space="preserve">Универсальный комплект </w:t>
            </w:r>
            <w:proofErr w:type="spellStart"/>
            <w:r>
              <w:t>мотоинструмента</w:t>
            </w:r>
            <w:proofErr w:type="spellEnd"/>
          </w:p>
        </w:tc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r>
              <w:t>УКМ</w:t>
            </w:r>
          </w:p>
        </w:tc>
      </w:tr>
    </w:tbl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>Таблица 4 - Инструмент</w:t>
      </w:r>
      <w:r>
        <w:t xml:space="preserve"> с гидроприводом</w:t>
      </w:r>
    </w:p>
    <w:p w:rsidR="00000000" w:rsidRDefault="000C5A12">
      <w:pPr>
        <w:ind w:firstLine="284"/>
        <w:jc w:val="both"/>
      </w:pPr>
    </w:p>
    <w:tbl>
      <w:tblPr>
        <w:tblW w:w="0" w:type="auto"/>
        <w:tblInd w:w="180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970"/>
        <w:gridCol w:w="23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pPr>
              <w:jc w:val="center"/>
            </w:pPr>
            <w:r>
              <w:t>Вид инструмента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pPr>
              <w:jc w:val="center"/>
            </w:pPr>
            <w:r>
              <w:t xml:space="preserve">Типовые образцы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Цилиндры одностороннего действия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ЦГС-750-2,5-160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Цилиндры (распорки, стойки) двустороннего действия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 xml:space="preserve">ДГ-100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Разжимы (расширители)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 xml:space="preserve">ЦГ-11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Резаки (кусачки)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Разжимы-резаки двойного действия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r>
              <w:t>Ножницы</w:t>
            </w:r>
          </w:p>
        </w:tc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НГ-16 </w:t>
            </w:r>
          </w:p>
        </w:tc>
      </w:tr>
    </w:tbl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 xml:space="preserve">Таблица 5 - Спасательные </w:t>
      </w:r>
      <w:proofErr w:type="spellStart"/>
      <w:r>
        <w:t>эластомерные</w:t>
      </w:r>
      <w:proofErr w:type="spellEnd"/>
      <w:r>
        <w:t xml:space="preserve"> силовые конструкции</w:t>
      </w:r>
    </w:p>
    <w:p w:rsidR="00000000" w:rsidRDefault="000C5A12">
      <w:pPr>
        <w:ind w:firstLine="284"/>
        <w:jc w:val="both"/>
      </w:pPr>
    </w:p>
    <w:tbl>
      <w:tblPr>
        <w:tblW w:w="0" w:type="auto"/>
        <w:tblInd w:w="180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970"/>
        <w:gridCol w:w="23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pPr>
              <w:jc w:val="center"/>
            </w:pPr>
            <w:r>
              <w:t>Вид инструмента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pPr>
              <w:jc w:val="center"/>
            </w:pPr>
            <w:r>
              <w:t>Типовые образцы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pStyle w:val="Preforma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Эластомерные</w:t>
            </w:r>
            <w:proofErr w:type="spellEnd"/>
            <w:r>
              <w:rPr>
                <w:rFonts w:ascii="Times New Roman" w:hAnsi="Times New Roman"/>
              </w:rPr>
              <w:t xml:space="preserve"> домкраты и подъемники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5A1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СЭД-500 и ЭСП-50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proofErr w:type="spellStart"/>
            <w:r>
              <w:t>Эластомерные</w:t>
            </w:r>
            <w:proofErr w:type="spellEnd"/>
            <w:r>
              <w:t xml:space="preserve"> заглушки для труб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5A12">
            <w:r>
              <w:t>ЭЗТ-250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proofErr w:type="spellStart"/>
            <w:r>
              <w:t>Эластомерные</w:t>
            </w:r>
            <w:proofErr w:type="spellEnd"/>
            <w:r>
              <w:t xml:space="preserve"> пластыри</w:t>
            </w:r>
          </w:p>
        </w:tc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A12">
            <w:r>
              <w:t>ЭПП-0,2 , ЭПБ-0,02</w:t>
            </w:r>
          </w:p>
        </w:tc>
      </w:tr>
    </w:tbl>
    <w:p w:rsidR="00000000" w:rsidRDefault="000C5A12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0C5A12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0C5A12">
      <w:pPr>
        <w:pStyle w:val="Heading"/>
        <w:ind w:firstLine="284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Б</w:t>
      </w:r>
    </w:p>
    <w:p w:rsidR="00000000" w:rsidRDefault="000C5A12">
      <w:pPr>
        <w:pStyle w:val="Heading"/>
        <w:ind w:firstLine="284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(обя</w:t>
      </w:r>
      <w:r>
        <w:rPr>
          <w:rFonts w:ascii="Times New Roman" w:hAnsi="Times New Roman"/>
          <w:b w:val="0"/>
          <w:i/>
          <w:sz w:val="20"/>
        </w:rPr>
        <w:t>зательное)</w:t>
      </w:r>
    </w:p>
    <w:p w:rsidR="00000000" w:rsidRDefault="000C5A12">
      <w:pPr>
        <w:pStyle w:val="Heading"/>
        <w:ind w:firstLine="284"/>
        <w:jc w:val="right"/>
        <w:rPr>
          <w:rFonts w:ascii="Times New Roman" w:hAnsi="Times New Roman"/>
          <w:b w:val="0"/>
          <w:sz w:val="20"/>
        </w:rPr>
      </w:pPr>
    </w:p>
    <w:p w:rsidR="00000000" w:rsidRDefault="000C5A1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СТОЙКОСТИ ИНСТРУМЕНТА И ОБОРУДОВАНИЯ К ОПАСНЫМ И ХИМИЧЕСКИ АКТИВНЫМ ВЕЩЕСТВАМ</w:t>
      </w:r>
    </w:p>
    <w:p w:rsidR="00000000" w:rsidRDefault="000C5A12">
      <w:pPr>
        <w:ind w:firstLine="284"/>
        <w:jc w:val="both"/>
      </w:pPr>
    </w:p>
    <w:p w:rsidR="00000000" w:rsidRDefault="000C5A12">
      <w:pPr>
        <w:ind w:firstLine="284"/>
        <w:jc w:val="both"/>
      </w:pPr>
      <w:r>
        <w:t>С учетом коэффициента обеспечения защиты при превышении ПДК в 100 раз устанавливают следующие требования по стойкости:</w:t>
      </w:r>
    </w:p>
    <w:p w:rsidR="00000000" w:rsidRDefault="000C5A12">
      <w:pPr>
        <w:ind w:firstLine="284"/>
        <w:jc w:val="both"/>
      </w:pPr>
      <w:r>
        <w:t>- концентрация хлора 0,2 г/м</w:t>
      </w:r>
      <w:r>
        <w:rPr>
          <w:vertAlign w:val="superscript"/>
        </w:rPr>
        <w:t>3</w:t>
      </w:r>
      <w:r>
        <w:t>;</w:t>
      </w:r>
    </w:p>
    <w:p w:rsidR="00000000" w:rsidRDefault="000C5A12">
      <w:pPr>
        <w:ind w:firstLine="284"/>
        <w:jc w:val="both"/>
      </w:pPr>
      <w:r>
        <w:t>- концентрация аммиака, сероводорода 2,0 г/м</w:t>
      </w:r>
      <w:r>
        <w:rPr>
          <w:vertAlign w:val="superscript"/>
        </w:rPr>
        <w:t>3</w:t>
      </w:r>
      <w:r>
        <w:t>;</w:t>
      </w:r>
    </w:p>
    <w:p w:rsidR="00000000" w:rsidRDefault="000C5A12">
      <w:pPr>
        <w:ind w:firstLine="284"/>
        <w:jc w:val="both"/>
      </w:pPr>
      <w:r>
        <w:t>- концентрация окислов азота 0,3 г/м</w:t>
      </w:r>
      <w:r>
        <w:rPr>
          <w:vertAlign w:val="superscript"/>
        </w:rPr>
        <w:t>3</w:t>
      </w:r>
      <w:r>
        <w:t>;</w:t>
      </w:r>
    </w:p>
    <w:p w:rsidR="00000000" w:rsidRDefault="000C5A12">
      <w:pPr>
        <w:ind w:firstLine="284"/>
        <w:jc w:val="both"/>
      </w:pPr>
      <w:r>
        <w:t>- концентрация сернистого газа 0,2 г/м</w:t>
      </w:r>
      <w:r>
        <w:rPr>
          <w:vertAlign w:val="superscript"/>
        </w:rPr>
        <w:t>3</w:t>
      </w:r>
      <w:r>
        <w:t>;</w:t>
      </w:r>
    </w:p>
    <w:p w:rsidR="00000000" w:rsidRDefault="000C5A12">
      <w:pPr>
        <w:ind w:firstLine="284"/>
        <w:jc w:val="both"/>
      </w:pPr>
      <w:r>
        <w:t>- соединительные шланги и прочие элементы из резины и пластмасс должны быть устойчивы к воздействию компонентов топлива и выдерживать 4-кр</w:t>
      </w:r>
      <w:r>
        <w:t>атное воздействие дегазирующих растворов № 1 и № 2 и полидегазирующей рецептуры РД-2 с плотностью орошения 0,5 л/м</w:t>
      </w:r>
      <w:r>
        <w:rPr>
          <w:vertAlign w:val="superscript"/>
        </w:rPr>
        <w:t>3</w:t>
      </w:r>
      <w:r>
        <w:t>;</w:t>
      </w:r>
    </w:p>
    <w:p w:rsidR="00000000" w:rsidRDefault="000C5A12">
      <w:pPr>
        <w:ind w:firstLine="284"/>
        <w:jc w:val="both"/>
      </w:pPr>
      <w:r>
        <w:t xml:space="preserve">- </w:t>
      </w:r>
      <w:proofErr w:type="spellStart"/>
      <w:r>
        <w:t>кислотостойкость</w:t>
      </w:r>
      <w:proofErr w:type="spellEnd"/>
      <w:r>
        <w:t xml:space="preserve"> материалов (концентрация по серной кислоте) должна превышать 80 %;</w:t>
      </w:r>
    </w:p>
    <w:p w:rsidR="00000000" w:rsidRDefault="000C5A12">
      <w:pPr>
        <w:ind w:firstLine="284"/>
        <w:jc w:val="both"/>
      </w:pPr>
      <w:r>
        <w:t>- стойкость к расплавам и растворам щелочей (по ангидриду натрия) должна превышать 20 %;</w:t>
      </w:r>
    </w:p>
    <w:p w:rsidR="00000000" w:rsidRDefault="000C5A12">
      <w:pPr>
        <w:ind w:firstLine="284"/>
        <w:jc w:val="both"/>
      </w:pPr>
      <w:r>
        <w:t xml:space="preserve">- используемые в конструкциях материалы должны быть устойчивы к радиационному излучению, мощность которого, рассчитанная на основе Норм НРБ-76 (1 </w:t>
      </w:r>
      <w:proofErr w:type="spellStart"/>
      <w:r>
        <w:t>мзв</w:t>
      </w:r>
      <w:proofErr w:type="spellEnd"/>
      <w:r>
        <w:t xml:space="preserve"> в неделю для персонала), с учетом десятикратного ослабления защитным к</w:t>
      </w:r>
      <w:r>
        <w:t xml:space="preserve">остюмом, составляет 2 </w:t>
      </w:r>
      <w:proofErr w:type="spellStart"/>
      <w:r>
        <w:t>наноДж</w:t>
      </w:r>
      <w:proofErr w:type="spellEnd"/>
      <w:r>
        <w:t>/см</w:t>
      </w:r>
      <w:r>
        <w:rPr>
          <w:vertAlign w:val="superscript"/>
        </w:rPr>
        <w:t>2</w:t>
      </w:r>
      <w:r>
        <w:t>·с;</w:t>
      </w:r>
    </w:p>
    <w:p w:rsidR="00000000" w:rsidRDefault="000C5A12">
      <w:pPr>
        <w:ind w:firstLine="284"/>
        <w:jc w:val="both"/>
      </w:pPr>
      <w:r>
        <w:t>- инструмент и оборудование должны обеспечивать возможность проведения дезактивации по ГОСТ 27708;</w:t>
      </w:r>
    </w:p>
    <w:p w:rsidR="00000000" w:rsidRDefault="000C5A12">
      <w:pPr>
        <w:ind w:firstLine="284"/>
        <w:jc w:val="both"/>
      </w:pPr>
      <w:r>
        <w:t xml:space="preserve">- немеханизированный, а также </w:t>
      </w:r>
      <w:proofErr w:type="spellStart"/>
      <w:r>
        <w:t>пневмо</w:t>
      </w:r>
      <w:proofErr w:type="spellEnd"/>
      <w:r>
        <w:t xml:space="preserve">- и </w:t>
      </w:r>
      <w:proofErr w:type="spellStart"/>
      <w:r>
        <w:t>гидроинструмент</w:t>
      </w:r>
      <w:proofErr w:type="spellEnd"/>
      <w:r>
        <w:t xml:space="preserve"> должны быть работоспособны в условиях образования взрывоопасной среды (загазованности метаном, парами бензина и пр.). Электроинструмент и оборудование </w:t>
      </w:r>
      <w:proofErr w:type="spellStart"/>
      <w:r>
        <w:t>энергообеспечения</w:t>
      </w:r>
      <w:proofErr w:type="spellEnd"/>
      <w:r>
        <w:t xml:space="preserve"> в этих условиях не применяются, о чем должна быть сделана запись в эксплуатационных документах.</w:t>
      </w:r>
    </w:p>
    <w:p w:rsidR="00000000" w:rsidRDefault="000C5A12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A12"/>
    <w:rsid w:val="000C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2551</Words>
  <Characters>14546</Characters>
  <Application>Microsoft Office Word</Application>
  <DocSecurity>0</DocSecurity>
  <Lines>121</Lines>
  <Paragraphs>34</Paragraphs>
  <ScaleCrop>false</ScaleCrop>
  <Company> </Company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22</dc:title>
  <dc:subject/>
  <dc:creator>CNTI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