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260A">
      <w:pPr>
        <w:tabs>
          <w:tab w:val="left" w:pos="4962"/>
        </w:tabs>
        <w:ind w:firstLine="284"/>
        <w:jc w:val="right"/>
      </w:pPr>
      <w:bookmarkStart w:id="0" w:name="_GoBack"/>
      <w:bookmarkEnd w:id="0"/>
      <w:r>
        <w:t xml:space="preserve">ГОСТ Р 50571.7-94 </w:t>
      </w:r>
    </w:p>
    <w:p w:rsidR="00000000" w:rsidRDefault="00DA260A">
      <w:pPr>
        <w:ind w:firstLine="284"/>
        <w:jc w:val="right"/>
      </w:pPr>
      <w:r>
        <w:t>(МЭК 364-4-46-81)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УДК 696.6:006.354                                                                                                      Группа Е08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center"/>
        <w:rPr>
          <w:b/>
          <w:smallCaps/>
        </w:rPr>
      </w:pPr>
      <w:r>
        <w:rPr>
          <w:b/>
          <w:smallCaps/>
        </w:rPr>
        <w:t>ГОСУДАРСТВЕННЫЙ СТАНДАРТ РОССИЙСКОЙ ФЕДЕРАЦИИ</w:t>
      </w:r>
    </w:p>
    <w:p w:rsidR="00000000" w:rsidRDefault="00DA260A">
      <w:pPr>
        <w:ind w:firstLine="284"/>
        <w:jc w:val="center"/>
        <w:rPr>
          <w:smallCaps/>
        </w:rPr>
      </w:pPr>
    </w:p>
    <w:p w:rsidR="00000000" w:rsidRDefault="00DA260A">
      <w:pPr>
        <w:ind w:firstLine="284"/>
        <w:jc w:val="center"/>
        <w:rPr>
          <w:b/>
        </w:rPr>
      </w:pPr>
      <w:r>
        <w:rPr>
          <w:b/>
        </w:rPr>
        <w:t>ЭЛЕКТРОУСТАНОВКИ ЗДАНИЙ</w:t>
      </w:r>
    </w:p>
    <w:p w:rsidR="00000000" w:rsidRDefault="00DA260A">
      <w:pPr>
        <w:ind w:firstLine="284"/>
        <w:jc w:val="center"/>
      </w:pPr>
    </w:p>
    <w:p w:rsidR="00000000" w:rsidRDefault="00DA260A">
      <w:pPr>
        <w:ind w:firstLine="284"/>
        <w:jc w:val="center"/>
        <w:rPr>
          <w:b/>
        </w:rPr>
      </w:pPr>
      <w:r>
        <w:rPr>
          <w:b/>
        </w:rPr>
        <w:t xml:space="preserve">Часть 4. </w:t>
      </w:r>
    </w:p>
    <w:p w:rsidR="00000000" w:rsidRDefault="00DA260A">
      <w:pPr>
        <w:ind w:firstLine="284"/>
        <w:jc w:val="center"/>
        <w:rPr>
          <w:b/>
        </w:rPr>
      </w:pPr>
      <w:r>
        <w:rPr>
          <w:b/>
        </w:rPr>
        <w:t>Требо</w:t>
      </w:r>
      <w:r>
        <w:rPr>
          <w:b/>
        </w:rPr>
        <w:t xml:space="preserve">вания по обеспечению безопасности. </w:t>
      </w:r>
    </w:p>
    <w:p w:rsidR="00000000" w:rsidRDefault="00DA260A">
      <w:pPr>
        <w:ind w:firstLine="284"/>
        <w:jc w:val="center"/>
        <w:rPr>
          <w:b/>
        </w:rPr>
      </w:pPr>
      <w:r>
        <w:rPr>
          <w:b/>
        </w:rPr>
        <w:t>Отделение, отключение, управление</w:t>
      </w:r>
    </w:p>
    <w:p w:rsidR="00000000" w:rsidRDefault="00DA260A">
      <w:pPr>
        <w:ind w:firstLine="284"/>
        <w:jc w:val="center"/>
        <w:rPr>
          <w:b/>
        </w:rPr>
      </w:pPr>
    </w:p>
    <w:p w:rsidR="00000000" w:rsidRDefault="00DA260A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Electrical installations of buildings</w:t>
      </w:r>
      <w:r>
        <w:rPr>
          <w:b/>
        </w:rPr>
        <w:t>.</w:t>
      </w:r>
      <w:r>
        <w:rPr>
          <w:b/>
          <w:lang w:val="en-US"/>
        </w:rPr>
        <w:t xml:space="preserve"> </w:t>
      </w:r>
    </w:p>
    <w:p w:rsidR="00000000" w:rsidRDefault="00DA260A">
      <w:pPr>
        <w:ind w:firstLine="284"/>
        <w:jc w:val="center"/>
        <w:rPr>
          <w:b/>
        </w:rPr>
      </w:pPr>
      <w:r>
        <w:rPr>
          <w:b/>
          <w:lang w:val="en-US"/>
        </w:rPr>
        <w:t>Part</w:t>
      </w:r>
      <w:r>
        <w:rPr>
          <w:b/>
        </w:rPr>
        <w:t xml:space="preserve"> 4.</w:t>
      </w:r>
      <w:r>
        <w:rPr>
          <w:b/>
          <w:lang w:val="en-US"/>
        </w:rPr>
        <w:t xml:space="preserve"> Protection for safety. Isolation</w:t>
      </w:r>
      <w:r>
        <w:rPr>
          <w:b/>
        </w:rPr>
        <w:t>,</w:t>
      </w:r>
      <w:r>
        <w:rPr>
          <w:b/>
          <w:lang w:val="en-US"/>
        </w:rPr>
        <w:t xml:space="preserve"> switching off, control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ОКСТУ 3402</w:t>
      </w:r>
    </w:p>
    <w:p w:rsidR="00000000" w:rsidRDefault="00DA260A">
      <w:pPr>
        <w:ind w:firstLine="284"/>
        <w:jc w:val="both"/>
        <w:rPr>
          <w:lang w:val="en-US"/>
        </w:rPr>
      </w:pPr>
    </w:p>
    <w:p w:rsidR="00000000" w:rsidRDefault="00DA260A">
      <w:pPr>
        <w:ind w:firstLine="284"/>
        <w:jc w:val="right"/>
        <w:rPr>
          <w:i/>
        </w:rPr>
      </w:pPr>
      <w:r>
        <w:rPr>
          <w:i/>
        </w:rPr>
        <w:t>Дата введения 1995-01-01</w:t>
      </w:r>
    </w:p>
    <w:p w:rsidR="00000000" w:rsidRDefault="00DA260A">
      <w:pPr>
        <w:ind w:firstLine="284"/>
        <w:jc w:val="both"/>
        <w:rPr>
          <w:b/>
        </w:rPr>
      </w:pPr>
    </w:p>
    <w:p w:rsidR="00000000" w:rsidRDefault="00DA260A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Предисловие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1 ПОДГОТОВЛЕН И ВНЕСЕН Техническим комитетом по стандартизации ТК 337 «Электрооборудование жилых и общественных зданий»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2 УТВЕРЖДЕН И ВВЕДЕН В ДЕЙСТВИЕ Постановлением Госстандарта России от 06.06.94 № 162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3 Настоящий стандарт содержит полный аутентичный текст международного стандар</w:t>
      </w:r>
      <w:r>
        <w:t xml:space="preserve">та МЭК 364-4-46 (1981) «Электрические установки зданий. Часть 4. Требования по обеспечению безопасности Глава 46. Отделение и переключение» 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4 ВВЕДЕН ВПЕРВЫЕ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Настоящий стандарт является частью комплекса государственных стандартов на электроустановки зданий, разрабатываемых на основе стандартов Международной электротехнической комиссии МЭК 364 «Электрические установки зданий».</w:t>
      </w:r>
    </w:p>
    <w:p w:rsidR="00000000" w:rsidRDefault="00DA260A">
      <w:pPr>
        <w:ind w:firstLine="284"/>
        <w:jc w:val="both"/>
      </w:pPr>
      <w:r>
        <w:t>По содержанию устанавливаемых требований стандарт является основополагающим, положения которого должны применяться во вс</w:t>
      </w:r>
      <w:r>
        <w:t>ех областях, входящих в сферу работ по стандартизации и сертификации электроустановок зданий, при разработке и пересмотре стандартов, норм и правил на устройство, испытания и эксплуатацию электроустановок зданий.</w:t>
      </w:r>
    </w:p>
    <w:p w:rsidR="00000000" w:rsidRDefault="00DA260A">
      <w:pPr>
        <w:ind w:firstLine="284"/>
        <w:jc w:val="both"/>
      </w:pPr>
      <w:r>
        <w:t>Нумерация разделов и пунктов в стандарте соответствует принятой в стандартах МЭК 364 на электроустановки зданий. Система нумерации, установленная в стандартах МЭК 364, предусматривает указание обозначений номеров частей и глав международного стандарта МЭК в обозначении номеров разделов и пунктов ча</w:t>
      </w:r>
      <w:r>
        <w:t>стных стандартов. Так, например, в обозначении пункта 465.1.1 настоящего стандарта цифра 4 обозначает номер части, 46 - номер главы; 465 - номер раздела международного стандарта МЭК 364-4-46 (1981).</w:t>
      </w:r>
    </w:p>
    <w:p w:rsidR="00000000" w:rsidRDefault="00DA260A">
      <w:pPr>
        <w:ind w:firstLine="284"/>
        <w:jc w:val="both"/>
      </w:pPr>
      <w:r>
        <w:t>Применение указанной системы нумерации обеспечивает взаимоувязку требований частных стандартов комплекса стандартов на электроустановки зданий по правилам, принятым Техническим комитетом 64 МЭК «Электрические установки зданий».</w:t>
      </w:r>
    </w:p>
    <w:p w:rsidR="00000000" w:rsidRDefault="00DA260A">
      <w:pPr>
        <w:ind w:firstLine="284"/>
        <w:jc w:val="both"/>
      </w:pPr>
      <w:r>
        <w:t>Требования «Правил устройства электроустановок» (ПУЭ, шестое издание), утвержденных Г</w:t>
      </w:r>
      <w:r>
        <w:t>лавтехуправлением и Госэнергонадзором Минэнерго СССР, за исключением пункта 1.7.83, согласуются с требованиями настоящего стандарта.</w:t>
      </w:r>
    </w:p>
    <w:p w:rsidR="00000000" w:rsidRDefault="00DA260A">
      <w:pPr>
        <w:ind w:firstLine="284"/>
        <w:jc w:val="both"/>
      </w:pPr>
      <w:r>
        <w:t xml:space="preserve">Пунктом 1.7.83 ПУЭ допускается в цепях нулевых рабочих проводников, если они одновременно используются для целей зануления, применение выключателей, которые одновременно с отключением нулевых рабочих проводников отключают все проводники, </w:t>
      </w:r>
      <w:r>
        <w:lastRenderedPageBreak/>
        <w:t>находящиеся под напряжением. Указанное допущение ПУЭ не согласуется с требованием пункта 461.2 настоящего стандарта, в соответствии с которым</w:t>
      </w:r>
      <w:r>
        <w:t xml:space="preserve"> не допускается отделение или отключение в цепи нулевого рабочего проводника, совмещенного с защитным.</w:t>
      </w:r>
    </w:p>
    <w:p w:rsidR="00000000" w:rsidRDefault="00DA260A">
      <w:pPr>
        <w:ind w:firstLine="284"/>
        <w:jc w:val="both"/>
      </w:pPr>
      <w:r>
        <w:t>Несоответствие требований пункта 1.7.83 ПУЭ настоящему стандарту будет устранено при пересмотре ПУЭ.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DA260A">
      <w:pPr>
        <w:ind w:firstLine="284"/>
        <w:jc w:val="both"/>
        <w:rPr>
          <w:b/>
        </w:rPr>
      </w:pPr>
    </w:p>
    <w:p w:rsidR="00000000" w:rsidRDefault="00DA260A">
      <w:pPr>
        <w:ind w:firstLine="284"/>
        <w:jc w:val="both"/>
      </w:pPr>
      <w:r>
        <w:t>Настоящий стандарт устанавливает требования по выполнению отделения, отключения и управления в электрических цепях с целью обеспечения безопасности при эксплуатации электроустановок зданий. Область применения стандарта - по ГОСТ Р 50571.1.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DA260A">
      <w:pPr>
        <w:ind w:firstLine="284"/>
        <w:jc w:val="both"/>
        <w:rPr>
          <w:b/>
        </w:rPr>
      </w:pPr>
    </w:p>
    <w:p w:rsidR="00000000" w:rsidRDefault="00DA260A">
      <w:pPr>
        <w:ind w:firstLine="284"/>
        <w:jc w:val="both"/>
      </w:pPr>
      <w:r>
        <w:t xml:space="preserve">В настоящем стандарте </w:t>
      </w:r>
      <w:r>
        <w:t xml:space="preserve">использована ссылка на ГОСТ Р 50571.1-93 Электроустановки зданий. Основные положения. </w:t>
      </w:r>
    </w:p>
    <w:p w:rsidR="00000000" w:rsidRDefault="00DA260A">
      <w:pPr>
        <w:ind w:firstLine="284"/>
        <w:jc w:val="both"/>
      </w:pPr>
      <w:r>
        <w:t>461 ОБЩИЕ ПОЛОЖЕНИЯ</w:t>
      </w:r>
    </w:p>
    <w:p w:rsidR="00000000" w:rsidRDefault="00DA260A">
      <w:pPr>
        <w:ind w:firstLine="284"/>
        <w:jc w:val="both"/>
      </w:pPr>
      <w:r>
        <w:t>461.1 В зависимости от предназначенной ему функции любое устройство, предназначенное для отделения, отключения или управления, должно соответствовать требованиям стандартов и технических условий на эти устройства.</w:t>
      </w:r>
    </w:p>
    <w:p w:rsidR="00000000" w:rsidRDefault="00DA260A">
      <w:pPr>
        <w:ind w:firstLine="284"/>
        <w:jc w:val="both"/>
      </w:pPr>
      <w:r>
        <w:t>461.2 В системах</w:t>
      </w:r>
      <w:r>
        <w:rPr>
          <w:lang w:val="en-US"/>
        </w:rPr>
        <w:t xml:space="preserve"> TN</w:t>
      </w:r>
      <w:r>
        <w:sym w:font="Symbol" w:char="F0BE"/>
      </w:r>
      <w:r>
        <w:t>С нулевой рабочий проводник, совмещенный с защитным, отделять или отключать не следует. В системе</w:t>
      </w:r>
      <w:r>
        <w:rPr>
          <w:lang w:val="en-US"/>
        </w:rPr>
        <w:t xml:space="preserve"> TN</w:t>
      </w:r>
      <w:r>
        <w:sym w:font="Symbol" w:char="F0BE"/>
      </w:r>
      <w:r>
        <w:rPr>
          <w:lang w:val="en-US"/>
        </w:rPr>
        <w:t>S</w:t>
      </w:r>
      <w:r>
        <w:t xml:space="preserve"> отделять или отключать рабочий нулевой проводник не требуется.</w:t>
      </w:r>
    </w:p>
    <w:p w:rsidR="00000000" w:rsidRDefault="00DA260A">
      <w:pPr>
        <w:ind w:firstLine="284"/>
        <w:jc w:val="both"/>
      </w:pPr>
      <w:r>
        <w:t>Во вс</w:t>
      </w:r>
      <w:r>
        <w:t>ех системах распределения электроэнергии отделять или отключать защитные проводники не допускается.</w:t>
      </w:r>
    </w:p>
    <w:p w:rsidR="00000000" w:rsidRDefault="00DA260A">
      <w:pPr>
        <w:ind w:firstLine="284"/>
        <w:jc w:val="both"/>
      </w:pPr>
      <w:r>
        <w:t>461.3 Мероприятия, приведенные в настоящем стандарте, не заменяют меры защиты, установленные в других стандартах на электроустановки зданий.</w:t>
      </w:r>
    </w:p>
    <w:p w:rsidR="00000000" w:rsidRDefault="00DA260A">
      <w:pPr>
        <w:ind w:firstLine="284"/>
        <w:jc w:val="both"/>
      </w:pPr>
      <w:r>
        <w:t>462</w:t>
      </w:r>
      <w:r>
        <w:rPr>
          <w:b/>
        </w:rPr>
        <w:t xml:space="preserve"> Отделение</w:t>
      </w:r>
    </w:p>
    <w:p w:rsidR="00000000" w:rsidRDefault="00DA260A">
      <w:pPr>
        <w:ind w:firstLine="284"/>
        <w:jc w:val="both"/>
      </w:pPr>
      <w:r>
        <w:t>462.1 В каждой цепи должна быть предусмотрена возможность отделения каждого проводника от питающих проводников, находящихся под напряжением, за исключением упомянутых в 461.2.</w:t>
      </w:r>
    </w:p>
    <w:p w:rsidR="00000000" w:rsidRDefault="00DA260A">
      <w:pPr>
        <w:ind w:firstLine="284"/>
        <w:jc w:val="both"/>
      </w:pPr>
      <w:r>
        <w:t>Допускается предусматривать отделение группы цепей общим устройством, если это по</w:t>
      </w:r>
      <w:r>
        <w:t>зволяют условия эксплуатации.</w:t>
      </w:r>
    </w:p>
    <w:p w:rsidR="00000000" w:rsidRDefault="00DA260A">
      <w:pPr>
        <w:ind w:firstLine="284"/>
        <w:jc w:val="both"/>
      </w:pPr>
      <w:r>
        <w:t>462.2 Необходимо предусматривать надлежащие меры, исключающие случайную подачу напряжения на оборудование.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 </w:t>
      </w:r>
      <w:r>
        <w:rPr>
          <w:sz w:val="18"/>
        </w:rPr>
        <w:sym w:font="Symbol" w:char="F0BE"/>
      </w:r>
      <w:r>
        <w:rPr>
          <w:sz w:val="18"/>
        </w:rPr>
        <w:t xml:space="preserve"> Такие меры могут предусматривать применение одного или нескольких мероприятий: запирание на замок (блокировка), использование предупреждающих плакатов, размещение оборудования в помещении, запирающемся на ключ, или в кожухе.</w:t>
      </w:r>
    </w:p>
    <w:p w:rsidR="00000000" w:rsidRDefault="00DA260A">
      <w:pPr>
        <w:ind w:firstLine="284"/>
        <w:jc w:val="both"/>
        <w:rPr>
          <w:sz w:val="18"/>
        </w:rPr>
      </w:pPr>
    </w:p>
    <w:p w:rsidR="00000000" w:rsidRDefault="00DA260A">
      <w:pPr>
        <w:ind w:firstLine="284"/>
        <w:jc w:val="both"/>
      </w:pPr>
      <w:r>
        <w:t>В качестве дополнительной меры могут использоваться закорачивание и заземление.</w:t>
      </w:r>
    </w:p>
    <w:p w:rsidR="00000000" w:rsidRDefault="00DA260A">
      <w:pPr>
        <w:ind w:firstLine="284"/>
        <w:jc w:val="both"/>
      </w:pPr>
      <w:r>
        <w:t>462.3 В случаях, когда оборудование, представляющее еди</w:t>
      </w:r>
      <w:r>
        <w:t>ный узел или размещенное в одной оболочке, содержит токоведущие части, подключенные к более чем одному источнику питания, предупреждающий плакат должен находиться в таком месте, чтобы лицо, получившее доступ к токоведущим частям, было предупреждено о необходимости отделить эти части от различных источников питания, если только для этой цели не предусмотрены устройства блокировки, отключающие, все источники.</w:t>
      </w:r>
    </w:p>
    <w:p w:rsidR="00000000" w:rsidRDefault="00DA260A" w:rsidP="00DA260A">
      <w:pPr>
        <w:numPr>
          <w:ilvl w:val="0"/>
          <w:numId w:val="1"/>
        </w:numPr>
        <w:ind w:left="0" w:firstLine="284"/>
        <w:jc w:val="both"/>
      </w:pPr>
      <w:r>
        <w:t xml:space="preserve"> При необходимости должны быть предусмотрены надлежащие средства для снятия остаточного заряда. </w:t>
      </w:r>
    </w:p>
    <w:p w:rsidR="00000000" w:rsidRDefault="00DA260A">
      <w:pPr>
        <w:ind w:firstLine="284"/>
        <w:jc w:val="both"/>
      </w:pPr>
      <w:r>
        <w:t xml:space="preserve">463 </w:t>
      </w:r>
      <w:r>
        <w:rPr>
          <w:b/>
        </w:rPr>
        <w:t>Отключение для обслуживания механической части</w:t>
      </w:r>
    </w:p>
    <w:p w:rsidR="00000000" w:rsidRDefault="00DA260A">
      <w:pPr>
        <w:ind w:firstLine="284"/>
        <w:jc w:val="both"/>
      </w:pPr>
      <w:r>
        <w:t>463.1 В случаях, когда эксплуатация механической части может быть сопряжена с опасностью телесного повреждения, следует предусматривать средства отключения.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  <w:rPr>
          <w:sz w:val="18"/>
        </w:rPr>
      </w:pPr>
      <w:r>
        <w:rPr>
          <w:sz w:val="18"/>
        </w:rPr>
        <w:t>Примечания</w:t>
      </w:r>
    </w:p>
    <w:p w:rsidR="00000000" w:rsidRDefault="00DA260A">
      <w:pPr>
        <w:ind w:firstLine="284"/>
        <w:jc w:val="both"/>
        <w:rPr>
          <w:sz w:val="18"/>
        </w:rPr>
      </w:pPr>
      <w:r>
        <w:rPr>
          <w:sz w:val="18"/>
        </w:rPr>
        <w:t>1 К электрифицированному механическому оборудованию могут быть отнесены вращающиеся машины, установки с нагревательными элементами, электромагниты.</w:t>
      </w:r>
    </w:p>
    <w:p w:rsidR="00000000" w:rsidRDefault="00DA260A">
      <w:pPr>
        <w:ind w:firstLine="284"/>
        <w:jc w:val="both"/>
        <w:rPr>
          <w:sz w:val="18"/>
        </w:rPr>
      </w:pPr>
      <w:r>
        <w:rPr>
          <w:sz w:val="18"/>
        </w:rPr>
        <w:t>2 Примерами установок, в которых используют средства отключения для обслуживания механической части, могут быть: краны, лифты, эскалаторы, конвейеры</w:t>
      </w:r>
      <w:r>
        <w:rPr>
          <w:sz w:val="18"/>
        </w:rPr>
        <w:t>, станки, насосы.</w:t>
      </w:r>
    </w:p>
    <w:p w:rsidR="00000000" w:rsidRDefault="00DA260A">
      <w:pPr>
        <w:ind w:firstLine="284"/>
        <w:jc w:val="both"/>
        <w:rPr>
          <w:sz w:val="18"/>
        </w:rPr>
      </w:pPr>
      <w:r>
        <w:rPr>
          <w:sz w:val="18"/>
        </w:rPr>
        <w:lastRenderedPageBreak/>
        <w:t>3 На системы, использующие другие виды энергии, например системы пневматические, гидравлические и другие, настоящие требования не распространяются. В этих случаях отключение электроэнергии может оказаться недостаточным.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463.2 Должны предусматриваться надлежащие меры, исключающие случайное включение оборудования с электроприводом во время обслуживания механической части, если средства отключения не находятся под постоянным наблюдением лица, выполняющего обслуживание механической части.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  <w:rPr>
          <w:sz w:val="18"/>
        </w:rPr>
      </w:pPr>
      <w:r>
        <w:rPr>
          <w:sz w:val="18"/>
        </w:rPr>
        <w:t>Пр</w:t>
      </w:r>
      <w:r>
        <w:rPr>
          <w:sz w:val="18"/>
        </w:rPr>
        <w:t xml:space="preserve">имечание </w:t>
      </w:r>
      <w:r>
        <w:rPr>
          <w:sz w:val="18"/>
        </w:rPr>
        <w:sym w:font="Symbol" w:char="F0BE"/>
      </w:r>
      <w:r>
        <w:rPr>
          <w:sz w:val="18"/>
        </w:rPr>
        <w:t xml:space="preserve"> К числу таких мер могут быть отнесены следующие: запирание на замок (блокировка), использование предупреждающих плакатов, размещение оборудования в помещении, запирающемся на ключ, или в кожухе.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464</w:t>
      </w:r>
      <w:r>
        <w:rPr>
          <w:b/>
        </w:rPr>
        <w:t xml:space="preserve"> Аварийное отключение, в том числе аварийный останов.</w:t>
      </w:r>
      <w:r>
        <w:t xml:space="preserve"> </w:t>
      </w:r>
    </w:p>
    <w:p w:rsidR="00000000" w:rsidRDefault="00DA260A">
      <w:pPr>
        <w:ind w:firstLine="284"/>
        <w:jc w:val="both"/>
      </w:pPr>
      <w:r>
        <w:t xml:space="preserve">464.1 Должны быть предусмотрены средства для аварийного отключения любой части установки, для которой может оказаться необходимым отключение напряжения питания в целях устранения неожиданной опасности. 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 </w:t>
      </w:r>
      <w:r>
        <w:rPr>
          <w:sz w:val="18"/>
        </w:rPr>
        <w:sym w:font="Symbol" w:char="F0BE"/>
      </w:r>
      <w:r>
        <w:rPr>
          <w:sz w:val="18"/>
        </w:rPr>
        <w:t xml:space="preserve"> Примерами установок, в которых</w:t>
      </w:r>
      <w:r>
        <w:rPr>
          <w:sz w:val="18"/>
        </w:rPr>
        <w:t xml:space="preserve"> используют средства аварийного отключения (помимо аварийного останова по 464.5), могут быть: устройства перекачки горючих жидкостей, вентиляционные системы, крупные ЭВМ, газоразрядные лампы, питаемые высоким напряжением, электроустановки крупных зданий, испытательные и исследовательские электрические установки, котельные, кухни предприятий общественного питания.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>464.2 В местах, где существует опасность поражения электрическим током, устройства аварийного отключения должны отключать все токоведущие проводн</w:t>
      </w:r>
      <w:r>
        <w:t>ики, за исключением указанных в 461.2.</w:t>
      </w:r>
    </w:p>
    <w:p w:rsidR="00000000" w:rsidRDefault="00DA260A">
      <w:pPr>
        <w:ind w:firstLine="284"/>
        <w:jc w:val="both"/>
      </w:pPr>
      <w:r>
        <w:t>464.3 Средства аварийного отключения, в том числе для аварийного останова, должны воздействовать непосредственно на соответствующие питающие проводники.</w:t>
      </w:r>
    </w:p>
    <w:p w:rsidR="00000000" w:rsidRDefault="00DA260A">
      <w:pPr>
        <w:ind w:firstLine="284"/>
        <w:jc w:val="both"/>
      </w:pPr>
      <w:r>
        <w:t xml:space="preserve">Устройство должно быть таким, чтобы отключение соответствующего источника питания производилось одним воздействием. </w:t>
      </w:r>
    </w:p>
    <w:p w:rsidR="00000000" w:rsidRDefault="00DA260A">
      <w:pPr>
        <w:ind w:firstLine="284"/>
        <w:jc w:val="both"/>
      </w:pPr>
      <w:r>
        <w:t>464.4 Устройство аварийного отключения должно быть таким, чтобы его работа не приводила к возникновению новой опасности и не мешала выполнению всей операции по устранению этой опасности.</w:t>
      </w:r>
    </w:p>
    <w:p w:rsidR="00000000" w:rsidRDefault="00DA260A">
      <w:pPr>
        <w:ind w:firstLine="284"/>
        <w:jc w:val="both"/>
      </w:pPr>
      <w:r>
        <w:t>464.5 Средства а</w:t>
      </w:r>
      <w:r>
        <w:t>варийного останова должны быть предусмотрены там, где движение, создаваемое электроприводом, может стать опасным.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 </w:t>
      </w:r>
      <w:r>
        <w:rPr>
          <w:sz w:val="18"/>
        </w:rPr>
        <w:sym w:font="Symbol" w:char="F0BE"/>
      </w:r>
      <w:r>
        <w:rPr>
          <w:sz w:val="18"/>
        </w:rPr>
        <w:t xml:space="preserve"> К установкам, в которых применяют средства аварийного останова, например, могут быть отнесены: эскалаторы, лифты, подъемники, конвейеры, двери с электроприводом, станки, установки для мойки автомобилей.</w:t>
      </w:r>
    </w:p>
    <w:p w:rsidR="00000000" w:rsidRDefault="00DA260A">
      <w:pPr>
        <w:ind w:firstLine="284"/>
        <w:jc w:val="both"/>
      </w:pPr>
    </w:p>
    <w:p w:rsidR="00000000" w:rsidRDefault="00DA260A">
      <w:pPr>
        <w:ind w:firstLine="284"/>
        <w:jc w:val="both"/>
      </w:pPr>
      <w:r>
        <w:t xml:space="preserve">465 </w:t>
      </w:r>
      <w:r>
        <w:rPr>
          <w:b/>
        </w:rPr>
        <w:t>Управление (рабочее отключение)</w:t>
      </w:r>
      <w:r>
        <w:t xml:space="preserve"> </w:t>
      </w:r>
    </w:p>
    <w:p w:rsidR="00000000" w:rsidRDefault="00DA260A" w:rsidP="00DA260A">
      <w:pPr>
        <w:numPr>
          <w:ilvl w:val="0"/>
          <w:numId w:val="2"/>
        </w:numPr>
        <w:ind w:left="0" w:firstLine="284"/>
        <w:jc w:val="both"/>
      </w:pPr>
      <w:r>
        <w:t xml:space="preserve"> </w:t>
      </w:r>
      <w:r>
        <w:rPr>
          <w:spacing w:val="40"/>
        </w:rPr>
        <w:t>Общие положения</w:t>
      </w:r>
      <w:r>
        <w:t xml:space="preserve"> </w:t>
      </w:r>
    </w:p>
    <w:p w:rsidR="00000000" w:rsidRDefault="00DA260A">
      <w:pPr>
        <w:ind w:firstLine="284"/>
        <w:jc w:val="both"/>
      </w:pPr>
      <w:r>
        <w:t xml:space="preserve">465.1.1 Устройства управления следует предусматривать для каждого участка цепи, для которого может потребоваться управление, </w:t>
      </w:r>
      <w:r>
        <w:t>независимое от других частей установки.</w:t>
      </w:r>
    </w:p>
    <w:p w:rsidR="00000000" w:rsidRDefault="00DA260A" w:rsidP="00DA260A">
      <w:pPr>
        <w:numPr>
          <w:ilvl w:val="0"/>
          <w:numId w:val="3"/>
        </w:numPr>
        <w:ind w:left="0" w:firstLine="284"/>
        <w:jc w:val="both"/>
      </w:pPr>
      <w:r>
        <w:t xml:space="preserve"> Устройства управления не обязательно должны отключать все токоведущие проводники цепи. </w:t>
      </w:r>
    </w:p>
    <w:p w:rsidR="00000000" w:rsidRDefault="00DA260A">
      <w:pPr>
        <w:ind w:firstLine="284"/>
        <w:jc w:val="both"/>
      </w:pPr>
      <w:r>
        <w:t>Не допускается устанавливать однополюсные отключающие устройства в цепи нулевого рабочего проводника.</w:t>
      </w:r>
    </w:p>
    <w:p w:rsidR="00000000" w:rsidRDefault="00DA260A">
      <w:pPr>
        <w:ind w:firstLine="284"/>
        <w:jc w:val="both"/>
      </w:pPr>
      <w:r>
        <w:t>465.1.3 Как правило, все управляемые электроприемники должны оборудоваться надлежащими средствами управления. Допускается управлять несколькими электроприемниками, работающими одновременно при помощи одного устройства управления.</w:t>
      </w:r>
    </w:p>
    <w:p w:rsidR="00000000" w:rsidRDefault="00DA260A">
      <w:pPr>
        <w:ind w:firstLine="284"/>
        <w:jc w:val="both"/>
      </w:pPr>
      <w:r>
        <w:t>465.1.4 Рабочее отключение может производиться с ис</w:t>
      </w:r>
      <w:r>
        <w:t>пользованием штепсельных соединителей на ток не более 16 А.</w:t>
      </w:r>
    </w:p>
    <w:p w:rsidR="00000000" w:rsidRDefault="00DA260A" w:rsidP="00DA260A">
      <w:pPr>
        <w:numPr>
          <w:ilvl w:val="0"/>
          <w:numId w:val="4"/>
        </w:numPr>
        <w:ind w:left="0" w:firstLine="284"/>
        <w:jc w:val="both"/>
      </w:pPr>
      <w:r>
        <w:t xml:space="preserve"> Устройства управления, обеспечивающие переключение питания с одного источника питания на другой, должны воздействовать на все проводники, находящиеся под напряжением. При этом должна быть исключена возможность включения источников на параллельную работу в случае, если установка не рассчитана специально на такой режим работы. В этом случае не следует отключать нулевой рабочий проводник, совмещенный с защитным, или защитный проводник в четырехпровод</w:t>
      </w:r>
      <w:r>
        <w:t>ной системе.</w:t>
      </w:r>
    </w:p>
    <w:p w:rsidR="00000000" w:rsidRDefault="00DA260A">
      <w:pPr>
        <w:ind w:firstLine="284"/>
        <w:jc w:val="both"/>
      </w:pPr>
      <w:r>
        <w:t xml:space="preserve">465.2 </w:t>
      </w:r>
      <w:r>
        <w:rPr>
          <w:spacing w:val="40"/>
        </w:rPr>
        <w:t>Цепи управления</w:t>
      </w:r>
    </w:p>
    <w:p w:rsidR="00000000" w:rsidRDefault="00DA260A">
      <w:pPr>
        <w:ind w:firstLine="284"/>
        <w:jc w:val="both"/>
      </w:pPr>
      <w:r>
        <w:t xml:space="preserve">Цепи управления должны быть спроектированы, устроены и защищены таким образом, чтобы ограничить опасные последствия замыкания между цепью управления и другими проводящими частями, которое может привести к неправильной работе (например ложное срабатывание) управляемого аппарата. </w:t>
      </w:r>
    </w:p>
    <w:p w:rsidR="00000000" w:rsidRDefault="00DA260A" w:rsidP="00DA260A">
      <w:pPr>
        <w:numPr>
          <w:ilvl w:val="0"/>
          <w:numId w:val="5"/>
        </w:numPr>
        <w:ind w:left="0" w:firstLine="284"/>
        <w:jc w:val="both"/>
      </w:pPr>
      <w:r>
        <w:t xml:space="preserve"> </w:t>
      </w:r>
      <w:r>
        <w:rPr>
          <w:spacing w:val="40"/>
        </w:rPr>
        <w:t>Управление электродвигателями</w:t>
      </w:r>
    </w:p>
    <w:p w:rsidR="00000000" w:rsidRDefault="00DA260A">
      <w:pPr>
        <w:ind w:firstLine="284"/>
        <w:jc w:val="both"/>
      </w:pPr>
      <w:r>
        <w:t>465.3.1 Цепи управления электродвигателями должны быть спроектированы таким образом, чтобы не было возможности самозапуска двигателя после его остановки вследствие по</w:t>
      </w:r>
      <w:r>
        <w:t>нижения или исчезновения напряжения, если самозапуск является опасным.</w:t>
      </w:r>
    </w:p>
    <w:p w:rsidR="00000000" w:rsidRDefault="00DA260A">
      <w:pPr>
        <w:ind w:firstLine="284"/>
        <w:jc w:val="both"/>
      </w:pPr>
      <w:r>
        <w:t>465.3.2 Если предусматривается торможение электродвигателя противотоком, следует принять меры по предотвращению изменения направления вращения двигателя в конце торможения, если изменение направления вращения сопряжено с опасностью.</w:t>
      </w:r>
    </w:p>
    <w:p w:rsidR="00000000" w:rsidRDefault="00DA260A">
      <w:pPr>
        <w:ind w:firstLine="284"/>
        <w:jc w:val="both"/>
      </w:pPr>
      <w:r>
        <w:t xml:space="preserve">465.3.3 В случаях, когда безопасность зависит от направления вращения электродвигателя, следует принять меры по предотвращению изменения направления вращения двигателя, обусловленного, например, потерей фазы </w:t>
      </w:r>
      <w:r>
        <w:t>или изменением порядка чередования фаз.</w:t>
      </w:r>
    </w:p>
    <w:p w:rsidR="00000000" w:rsidRDefault="00DA260A">
      <w:pPr>
        <w:ind w:firstLine="284"/>
        <w:jc w:val="both"/>
      </w:pPr>
      <w:r>
        <w:t>______________</w:t>
      </w:r>
    </w:p>
    <w:p w:rsidR="00000000" w:rsidRDefault="00DA260A">
      <w:pPr>
        <w:ind w:firstLine="284"/>
        <w:jc w:val="both"/>
      </w:pPr>
      <w:r>
        <w:t>Ключевые слова: электроустановки зданий; обеспечение безопасности; отделение; отключение; управление; средства отключения; аварийное отключение; устройства управления; цепи управления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7F6"/>
    <w:multiLevelType w:val="singleLevel"/>
    <w:tmpl w:val="F05CBFB4"/>
    <w:lvl w:ilvl="0">
      <w:start w:val="4"/>
      <w:numFmt w:val="decimal"/>
      <w:lvlText w:val="462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1C44151C"/>
    <w:multiLevelType w:val="singleLevel"/>
    <w:tmpl w:val="01544F44"/>
    <w:lvl w:ilvl="0">
      <w:start w:val="3"/>
      <w:numFmt w:val="decimal"/>
      <w:lvlText w:val="465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27DA1F54"/>
    <w:multiLevelType w:val="singleLevel"/>
    <w:tmpl w:val="478C1FCC"/>
    <w:lvl w:ilvl="0">
      <w:start w:val="5"/>
      <w:numFmt w:val="decimal"/>
      <w:lvlText w:val="465.1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39EF493F"/>
    <w:multiLevelType w:val="singleLevel"/>
    <w:tmpl w:val="7E9EEBDA"/>
    <w:lvl w:ilvl="0">
      <w:start w:val="1"/>
      <w:numFmt w:val="decimal"/>
      <w:lvlText w:val="465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44C507E6"/>
    <w:multiLevelType w:val="singleLevel"/>
    <w:tmpl w:val="85F802DE"/>
    <w:lvl w:ilvl="0">
      <w:start w:val="2"/>
      <w:numFmt w:val="decimal"/>
      <w:lvlText w:val="465.1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0A"/>
    <w:rsid w:val="00D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1602</Words>
  <Characters>9133</Characters>
  <Application>Microsoft Office Word</Application>
  <DocSecurity>0</DocSecurity>
  <Lines>76</Lines>
  <Paragraphs>21</Paragraphs>
  <ScaleCrop>false</ScaleCrop>
  <Company>СНИиП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50571.7-94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2013-04-11T11:15:00Z</dcterms:created>
  <dcterms:modified xsi:type="dcterms:W3CDTF">2013-04-11T11:15:00Z</dcterms:modified>
</cp:coreProperties>
</file>