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86629">
      <w:pPr>
        <w:ind w:left="0" w:firstLine="284"/>
        <w:jc w:val="right"/>
      </w:pPr>
      <w:bookmarkStart w:id="0" w:name="_GoBack"/>
      <w:bookmarkEnd w:id="0"/>
      <w:r>
        <w:t>ГОСТ Р 51597-2000</w:t>
      </w:r>
    </w:p>
    <w:p w:rsidR="00000000" w:rsidRDefault="00986629">
      <w:pPr>
        <w:ind w:left="0" w:firstLine="284"/>
        <w:jc w:val="right"/>
      </w:pPr>
    </w:p>
    <w:p w:rsidR="00000000" w:rsidRDefault="00986629">
      <w:pPr>
        <w:ind w:left="0" w:firstLine="284"/>
        <w:jc w:val="both"/>
      </w:pPr>
      <w:r>
        <w:t xml:space="preserve">УДК 697.329:006.354                                                                                                  Группа Е52 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center"/>
      </w:pPr>
      <w:r>
        <w:t>ГОСУДАРСТВЕННЫЙ  СТАНДАРТ РОССИЙСКОЙ ФЕДЕРАЦИИ</w:t>
      </w:r>
    </w:p>
    <w:p w:rsidR="00000000" w:rsidRDefault="00986629">
      <w:pPr>
        <w:ind w:left="0" w:firstLine="284"/>
        <w:jc w:val="center"/>
      </w:pPr>
    </w:p>
    <w:p w:rsidR="00000000" w:rsidRDefault="00986629">
      <w:pPr>
        <w:ind w:left="0" w:firstLine="284"/>
        <w:jc w:val="center"/>
      </w:pPr>
    </w:p>
    <w:p w:rsidR="00000000" w:rsidRDefault="00986629">
      <w:pPr>
        <w:ind w:left="0" w:firstLine="284"/>
        <w:jc w:val="center"/>
        <w:rPr>
          <w:b/>
          <w:sz w:val="22"/>
        </w:rPr>
      </w:pPr>
      <w:r>
        <w:rPr>
          <w:b/>
          <w:sz w:val="22"/>
        </w:rPr>
        <w:t>Нетрадиционная энергетика</w:t>
      </w:r>
    </w:p>
    <w:p w:rsidR="00000000" w:rsidRDefault="00986629">
      <w:pPr>
        <w:ind w:left="0" w:firstLine="284"/>
        <w:jc w:val="center"/>
      </w:pPr>
    </w:p>
    <w:p w:rsidR="00000000" w:rsidRDefault="00986629">
      <w:pPr>
        <w:ind w:left="0" w:firstLine="284"/>
        <w:jc w:val="center"/>
        <w:rPr>
          <w:b/>
        </w:rPr>
      </w:pPr>
      <w:r>
        <w:rPr>
          <w:b/>
        </w:rPr>
        <w:t>МОДУЛИ СОЛНЕЧНЫЕ ФОТОЭЛЕКТРИЧЕС</w:t>
      </w:r>
      <w:r>
        <w:rPr>
          <w:b/>
        </w:rPr>
        <w:t xml:space="preserve">КИЕ </w:t>
      </w:r>
    </w:p>
    <w:p w:rsidR="00000000" w:rsidRDefault="00986629">
      <w:pPr>
        <w:ind w:left="0" w:firstLine="284"/>
        <w:jc w:val="center"/>
        <w:rPr>
          <w:b/>
        </w:rPr>
      </w:pPr>
    </w:p>
    <w:p w:rsidR="00000000" w:rsidRDefault="00986629">
      <w:pPr>
        <w:ind w:left="0" w:firstLine="284"/>
        <w:jc w:val="center"/>
        <w:rPr>
          <w:b/>
          <w:sz w:val="22"/>
        </w:rPr>
      </w:pPr>
      <w:r>
        <w:rPr>
          <w:b/>
          <w:sz w:val="22"/>
        </w:rPr>
        <w:t>Типы и основные параметры</w:t>
      </w:r>
    </w:p>
    <w:p w:rsidR="00000000" w:rsidRDefault="00986629">
      <w:pPr>
        <w:ind w:left="0" w:firstLine="284"/>
        <w:jc w:val="center"/>
      </w:pPr>
    </w:p>
    <w:p w:rsidR="00000000" w:rsidRDefault="00986629">
      <w:pPr>
        <w:ind w:left="0" w:firstLine="284"/>
        <w:jc w:val="center"/>
      </w:pPr>
      <w:r>
        <w:rPr>
          <w:lang w:val="en-US"/>
        </w:rPr>
        <w:t xml:space="preserve">Nontraditional power engineering. </w:t>
      </w:r>
    </w:p>
    <w:p w:rsidR="00000000" w:rsidRDefault="00986629">
      <w:pPr>
        <w:ind w:left="0" w:firstLine="284"/>
        <w:jc w:val="center"/>
      </w:pPr>
      <w:r>
        <w:rPr>
          <w:lang w:val="en-US"/>
        </w:rPr>
        <w:t xml:space="preserve">Solar </w:t>
      </w:r>
      <w:proofErr w:type="spellStart"/>
      <w:r>
        <w:rPr>
          <w:lang w:val="en-US"/>
        </w:rPr>
        <w:t>photovoltaic</w:t>
      </w:r>
      <w:proofErr w:type="spellEnd"/>
      <w:r>
        <w:rPr>
          <w:lang w:val="en-US"/>
        </w:rPr>
        <w:t xml:space="preserve"> modules. Types and basic parameters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both"/>
      </w:pPr>
      <w:r>
        <w:t>ОКС 27.160</w:t>
      </w:r>
    </w:p>
    <w:p w:rsidR="00000000" w:rsidRDefault="00986629">
      <w:pPr>
        <w:ind w:left="0" w:firstLine="284"/>
        <w:jc w:val="both"/>
      </w:pPr>
      <w:r>
        <w:t>ОКСТУ 3484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right"/>
        <w:rPr>
          <w:i/>
        </w:rPr>
      </w:pPr>
      <w:r>
        <w:rPr>
          <w:i/>
        </w:rPr>
        <w:t>Дата введения 2001—01—01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center"/>
        <w:rPr>
          <w:b/>
        </w:rPr>
      </w:pPr>
      <w:r>
        <w:rPr>
          <w:b/>
        </w:rPr>
        <w:t>Предисловие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both"/>
      </w:pPr>
      <w:r>
        <w:t xml:space="preserve">1 РАЗРАБОТАН Всероссийским научно-исследовательским институтом электрификации сельского хозяйства, АО </w:t>
      </w:r>
      <w:proofErr w:type="spellStart"/>
      <w:r>
        <w:t>ВИЭН</w:t>
      </w:r>
      <w:proofErr w:type="spellEnd"/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both"/>
      </w:pPr>
      <w:r>
        <w:t>ВНЕСЕН Управлением научно-технического прогресса Минтопэнерго России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both"/>
      </w:pPr>
      <w:r>
        <w:t>2 УТВЕРЖДЕН И ВВЕДЕН В ДЕЙСТВИЕ Постановлением Госстандарта России от 21 апреля 2000 г. № 122-ст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both"/>
      </w:pPr>
      <w:r>
        <w:t>3 ВВЕДЕН ВПЕРВЫЕ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center"/>
        <w:rPr>
          <w:b/>
        </w:rPr>
      </w:pPr>
      <w:r>
        <w:rPr>
          <w:b/>
        </w:rPr>
        <w:t>Введение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both"/>
      </w:pPr>
      <w:r>
        <w:t xml:space="preserve">Стандарт разработан </w:t>
      </w:r>
      <w:r>
        <w:t>в России впервые с целью нормативного обеспечения производства фотоэлектрических модулей наземного применения. Он направлен на упорядочение и установление условий применения модулей в народном хозяйстве и регламентирует единообразные требования к параметрам и обозначению типов.</w:t>
      </w:r>
    </w:p>
    <w:p w:rsidR="00000000" w:rsidRDefault="00986629">
      <w:pPr>
        <w:ind w:left="0" w:firstLine="284"/>
        <w:jc w:val="both"/>
      </w:pPr>
      <w:r>
        <w:t>Стандарт относится к комплексу нормативных документов «Нетрадиционная энергетика», к группе «Солнечная энергетика».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center"/>
        <w:rPr>
          <w:b/>
          <w:sz w:val="22"/>
        </w:rPr>
      </w:pPr>
      <w:r>
        <w:rPr>
          <w:b/>
          <w:sz w:val="22"/>
        </w:rPr>
        <w:t>1 Область применения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both"/>
      </w:pPr>
      <w:r>
        <w:t xml:space="preserve">1.1 Настоящий стандарт распространяется на фотоэлектрические солнечные модули (далее — </w:t>
      </w:r>
      <w:proofErr w:type="spellStart"/>
      <w:r>
        <w:t>ФСМ</w:t>
      </w:r>
      <w:proofErr w:type="spellEnd"/>
      <w:r>
        <w:t>, мо</w:t>
      </w:r>
      <w:r>
        <w:t>дуль), работающие на принципе прямого преобразования солнечного излучения в электроэнергию постоянного тока и предназначенные для систем электроснабжения в различных областях промышленности, сельского хозяйства и быта населения.</w:t>
      </w:r>
    </w:p>
    <w:p w:rsidR="00000000" w:rsidRDefault="00986629">
      <w:pPr>
        <w:ind w:left="0" w:firstLine="284"/>
        <w:jc w:val="both"/>
      </w:pPr>
      <w:r>
        <w:t xml:space="preserve">1.2 Стандарт устанавливает общие требования к </w:t>
      </w:r>
      <w:proofErr w:type="spellStart"/>
      <w:r>
        <w:t>ФСМ</w:t>
      </w:r>
      <w:proofErr w:type="spellEnd"/>
      <w:r>
        <w:t xml:space="preserve"> по мощности, напряжению и обозначению типов.</w:t>
      </w:r>
    </w:p>
    <w:p w:rsidR="00000000" w:rsidRDefault="00986629">
      <w:pPr>
        <w:ind w:left="0" w:firstLine="284"/>
        <w:jc w:val="both"/>
      </w:pPr>
      <w:r>
        <w:t xml:space="preserve">1.3 Стандарт распространяется на </w:t>
      </w:r>
      <w:proofErr w:type="spellStart"/>
      <w:r>
        <w:t>ФСМ</w:t>
      </w:r>
      <w:proofErr w:type="spellEnd"/>
      <w:r>
        <w:t xml:space="preserve"> общего применения, используемые в качестве источников электроснабжения, которые допускают испытания и эксплуатацию в качестве независимых конструкционн</w:t>
      </w:r>
      <w:r>
        <w:t>ых единиц.</w:t>
      </w:r>
    </w:p>
    <w:p w:rsidR="00000000" w:rsidRDefault="00986629">
      <w:pPr>
        <w:ind w:left="0" w:firstLine="284"/>
        <w:jc w:val="both"/>
      </w:pPr>
      <w:r>
        <w:t xml:space="preserve">1.4 Настоящий стандарт применим к герметичным планарным </w:t>
      </w:r>
      <w:proofErr w:type="spellStart"/>
      <w:r>
        <w:t>ФСМ</w:t>
      </w:r>
      <w:proofErr w:type="spellEnd"/>
      <w:r>
        <w:t xml:space="preserve"> (с плоским расположением солнечных элементов).</w:t>
      </w:r>
    </w:p>
    <w:p w:rsidR="00000000" w:rsidRDefault="00986629">
      <w:pPr>
        <w:ind w:left="0" w:firstLine="284"/>
        <w:jc w:val="both"/>
        <w:rPr>
          <w:b/>
        </w:rPr>
      </w:pPr>
    </w:p>
    <w:p w:rsidR="00000000" w:rsidRDefault="00986629">
      <w:pPr>
        <w:ind w:left="0" w:firstLine="284"/>
        <w:jc w:val="center"/>
        <w:rPr>
          <w:b/>
          <w:sz w:val="22"/>
        </w:rPr>
      </w:pPr>
      <w:r>
        <w:rPr>
          <w:b/>
          <w:sz w:val="22"/>
        </w:rPr>
        <w:t>2 Нормативные ссылки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both"/>
      </w:pPr>
      <w:r>
        <w:t>В настоящем стандарте использованы ссылки на следующие стандарты:</w:t>
      </w:r>
    </w:p>
    <w:p w:rsidR="00000000" w:rsidRDefault="00986629">
      <w:pPr>
        <w:ind w:left="0" w:firstLine="284"/>
        <w:jc w:val="both"/>
      </w:pPr>
      <w:r>
        <w:t>ГОСТ 18275—72 Аппаратура радиоэлектронная. Номинальные значения напряжений и силы токов питания</w:t>
      </w:r>
    </w:p>
    <w:p w:rsidR="00000000" w:rsidRDefault="00986629">
      <w:pPr>
        <w:ind w:left="0" w:firstLine="284"/>
        <w:jc w:val="both"/>
      </w:pPr>
      <w:r>
        <w:t>ГОСТ Р 51594—2000 Нетрадиционная энергетика. Солнечная энергетика. Термины и определения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center"/>
        <w:rPr>
          <w:b/>
          <w:sz w:val="22"/>
        </w:rPr>
      </w:pPr>
      <w:r>
        <w:rPr>
          <w:b/>
          <w:sz w:val="22"/>
        </w:rPr>
        <w:t>3 Определения и сокращения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both"/>
      </w:pPr>
      <w:r>
        <w:t xml:space="preserve">3.1 Термины, используемые в настоящем стандарте, и их определения — по ГОСТ Р 51594. Кроме </w:t>
      </w:r>
      <w:r>
        <w:t>того, в настоящем стандарте используют следующие термины:</w:t>
      </w:r>
    </w:p>
    <w:p w:rsidR="00000000" w:rsidRDefault="00986629">
      <w:pPr>
        <w:ind w:left="0" w:firstLine="284"/>
        <w:jc w:val="both"/>
      </w:pPr>
      <w:r>
        <w:rPr>
          <w:b/>
        </w:rPr>
        <w:t>стандартные условия испытаний</w:t>
      </w:r>
      <w:r>
        <w:t xml:space="preserve"> (</w:t>
      </w:r>
      <w:proofErr w:type="spellStart"/>
      <w:r>
        <w:t>СУИ</w:t>
      </w:r>
      <w:proofErr w:type="spellEnd"/>
      <w:r>
        <w:t>): Условия испытаний, регламентированные по интенсивности солнечного излучения 1000 Вт/м</w:t>
      </w:r>
      <w:r>
        <w:rPr>
          <w:vertAlign w:val="superscript"/>
        </w:rPr>
        <w:t>2</w:t>
      </w:r>
      <w:r>
        <w:t xml:space="preserve">, спектральному распределению излучения при </w:t>
      </w:r>
      <w:proofErr w:type="spellStart"/>
      <w:r>
        <w:t>АМ</w:t>
      </w:r>
      <w:proofErr w:type="spellEnd"/>
      <w:r>
        <w:t>=1,5 и температуре солнечных элементов (25±2) °С.</w:t>
      </w:r>
    </w:p>
    <w:p w:rsidR="00000000" w:rsidRDefault="00986629">
      <w:pPr>
        <w:ind w:left="0" w:firstLine="284"/>
        <w:jc w:val="both"/>
      </w:pPr>
      <w:r>
        <w:rPr>
          <w:b/>
        </w:rPr>
        <w:t>интенсивность солнечного излучения:</w:t>
      </w:r>
      <w:r>
        <w:t xml:space="preserve"> Плотность солнечного излучения (энергетическая освещенность), поступающего на единицу площади </w:t>
      </w:r>
      <w:proofErr w:type="spellStart"/>
      <w:r>
        <w:t>ФСМ</w:t>
      </w:r>
      <w:proofErr w:type="spellEnd"/>
      <w:r>
        <w:t>, Вт/м</w:t>
      </w:r>
      <w:r>
        <w:rPr>
          <w:vertAlign w:val="superscript"/>
        </w:rPr>
        <w:t>2</w:t>
      </w:r>
      <w:r>
        <w:t>.</w:t>
      </w:r>
    </w:p>
    <w:p w:rsidR="00000000" w:rsidRDefault="00986629">
      <w:pPr>
        <w:ind w:left="0" w:firstLine="284"/>
        <w:jc w:val="both"/>
      </w:pPr>
      <w:r>
        <w:t>3.2 В настоящем стандарте используют следующие сокращения:</w:t>
      </w:r>
    </w:p>
    <w:p w:rsidR="00000000" w:rsidRDefault="00986629">
      <w:pPr>
        <w:ind w:left="0" w:firstLine="284"/>
        <w:jc w:val="both"/>
      </w:pPr>
      <w:proofErr w:type="spellStart"/>
      <w:r>
        <w:t>ФСМ</w:t>
      </w:r>
      <w:proofErr w:type="spellEnd"/>
      <w:r>
        <w:t xml:space="preserve"> — фотоэлектрический солнечный </w:t>
      </w:r>
      <w:r>
        <w:t>модуль;</w:t>
      </w:r>
    </w:p>
    <w:p w:rsidR="00000000" w:rsidRDefault="00986629">
      <w:pPr>
        <w:ind w:left="0" w:firstLine="284"/>
        <w:jc w:val="both"/>
      </w:pPr>
      <w:proofErr w:type="spellStart"/>
      <w:r>
        <w:t>ВАХ</w:t>
      </w:r>
      <w:proofErr w:type="spellEnd"/>
      <w:r>
        <w:t xml:space="preserve"> — </w:t>
      </w:r>
      <w:proofErr w:type="spellStart"/>
      <w:r>
        <w:t>вольт-амперная</w:t>
      </w:r>
      <w:proofErr w:type="spellEnd"/>
      <w:r>
        <w:t xml:space="preserve"> характеристика;</w:t>
      </w:r>
    </w:p>
    <w:p w:rsidR="00000000" w:rsidRDefault="00986629">
      <w:pPr>
        <w:ind w:left="0" w:firstLine="284"/>
        <w:jc w:val="both"/>
      </w:pPr>
      <w:r>
        <w:rPr>
          <w:lang w:val="en-US"/>
        </w:rPr>
        <w:t>AM</w:t>
      </w:r>
      <w:r>
        <w:t xml:space="preserve"> — атмосферная масса (или воздушная масса) — длина пути солнечных лучей в атмосфере, </w:t>
      </w:r>
      <w:r>
        <w:rPr>
          <w:lang w:val="en-US"/>
        </w:rPr>
        <w:t>AM</w:t>
      </w:r>
      <w:r>
        <w:t xml:space="preserve"> =</w:t>
      </w:r>
      <w:r>
        <w:rPr>
          <w:lang w:val="en-US"/>
        </w:rPr>
        <w:t xml:space="preserve"> 1/sin </w:t>
      </w:r>
      <w:r>
        <w:rPr>
          <w:i/>
          <w:lang w:val="en-US"/>
        </w:rPr>
        <w:t>h</w:t>
      </w:r>
      <w:r>
        <w:rPr>
          <w:smallCaps/>
          <w:vertAlign w:val="subscript"/>
          <w:lang w:val="en-US"/>
        </w:rPr>
        <w:t>0</w:t>
      </w:r>
      <w:r>
        <w:rPr>
          <w:i/>
          <w:smallCaps/>
          <w:lang w:val="en-US"/>
        </w:rPr>
        <w:t>,</w:t>
      </w:r>
      <w:r>
        <w:rPr>
          <w:smallCaps/>
        </w:rPr>
        <w:t xml:space="preserve"> </w:t>
      </w:r>
      <w:r>
        <w:t xml:space="preserve">где </w:t>
      </w:r>
      <w:r>
        <w:rPr>
          <w:i/>
          <w:lang w:val="en-US"/>
        </w:rPr>
        <w:t>h</w:t>
      </w:r>
      <w:r>
        <w:rPr>
          <w:smallCaps/>
          <w:vertAlign w:val="subscript"/>
          <w:lang w:val="en-US"/>
        </w:rPr>
        <w:t>0</w:t>
      </w:r>
      <w:r>
        <w:t xml:space="preserve"> — высота видимого положения Солнца над горизонтом</w:t>
      </w:r>
      <w:r>
        <w:rPr>
          <w:lang w:val="en-US"/>
        </w:rPr>
        <w:t xml:space="preserve"> (AM</w:t>
      </w:r>
      <w:r>
        <w:t xml:space="preserve"> =</w:t>
      </w:r>
      <w:r>
        <w:rPr>
          <w:lang w:val="en-US"/>
        </w:rPr>
        <w:t xml:space="preserve"> </w:t>
      </w:r>
      <w:r>
        <w:t>1,5 при</w:t>
      </w:r>
      <w:r>
        <w:rPr>
          <w:lang w:val="en-US"/>
        </w:rPr>
        <w:t xml:space="preserve"> </w:t>
      </w:r>
      <w:r>
        <w:rPr>
          <w:i/>
          <w:lang w:val="en-US"/>
        </w:rPr>
        <w:t>h</w:t>
      </w:r>
      <w:r>
        <w:rPr>
          <w:smallCaps/>
          <w:vertAlign w:val="subscript"/>
          <w:lang w:val="en-US"/>
        </w:rPr>
        <w:t xml:space="preserve">0 </w:t>
      </w:r>
      <w:r>
        <w:t>= 42°);</w:t>
      </w:r>
    </w:p>
    <w:p w:rsidR="00000000" w:rsidRDefault="00986629">
      <w:pPr>
        <w:ind w:left="0" w:firstLine="284"/>
        <w:jc w:val="both"/>
      </w:pPr>
      <w:proofErr w:type="spellStart"/>
      <w:r>
        <w:t>СУИ</w:t>
      </w:r>
      <w:proofErr w:type="spellEnd"/>
      <w:r>
        <w:t xml:space="preserve"> — стандартные условия испытаний.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center"/>
        <w:rPr>
          <w:b/>
          <w:sz w:val="22"/>
        </w:rPr>
      </w:pPr>
      <w:r>
        <w:rPr>
          <w:b/>
          <w:sz w:val="22"/>
        </w:rPr>
        <w:t>4. Требования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both"/>
      </w:pPr>
      <w:r>
        <w:t xml:space="preserve">4.1 Основными параметрами, определяющими разделение </w:t>
      </w:r>
      <w:proofErr w:type="spellStart"/>
      <w:r>
        <w:t>ФСМ</w:t>
      </w:r>
      <w:proofErr w:type="spellEnd"/>
      <w:r>
        <w:t xml:space="preserve"> по типам, являются:</w:t>
      </w:r>
    </w:p>
    <w:p w:rsidR="00000000" w:rsidRDefault="00986629">
      <w:pPr>
        <w:ind w:left="0" w:firstLine="284"/>
        <w:jc w:val="both"/>
      </w:pPr>
      <w:r>
        <w:t xml:space="preserve">- пиковая мощность на выходе модуля при </w:t>
      </w:r>
      <w:proofErr w:type="spellStart"/>
      <w:r>
        <w:t>СУИ</w:t>
      </w:r>
      <w:proofErr w:type="spellEnd"/>
      <w:r>
        <w:t>;</w:t>
      </w:r>
    </w:p>
    <w:p w:rsidR="00000000" w:rsidRDefault="00986629">
      <w:pPr>
        <w:ind w:left="0" w:firstLine="284"/>
        <w:jc w:val="both"/>
      </w:pPr>
      <w:r>
        <w:t>- номинальное напряжение, которое может обеспечить модуль потребителю электроэнергии без применения дополните</w:t>
      </w:r>
      <w:r>
        <w:t>льных преобразователей.</w:t>
      </w:r>
    </w:p>
    <w:p w:rsidR="00000000" w:rsidRDefault="00986629">
      <w:pPr>
        <w:ind w:left="0" w:firstLine="284"/>
        <w:jc w:val="both"/>
      </w:pPr>
      <w:r>
        <w:t xml:space="preserve">4.2 Значения пиковой мощности </w:t>
      </w:r>
      <w:proofErr w:type="spellStart"/>
      <w:r>
        <w:t>ФСМ</w:t>
      </w:r>
      <w:proofErr w:type="spellEnd"/>
      <w:r>
        <w:t xml:space="preserve"> должны выбираться из ряда 2, 5, 8, 10, 15, 20, 25, 30, 40, 50, 65, 80,100, 120, 150 Вт. Предельные отклонения от указанных значений не должны превышать ±10 %. Значения КПД солнечных элементов, используемых в </w:t>
      </w:r>
      <w:proofErr w:type="spellStart"/>
      <w:r>
        <w:t>ФСМ</w:t>
      </w:r>
      <w:proofErr w:type="spellEnd"/>
      <w:r>
        <w:t>, не нормируют. В обоснованных случаях для оптимизации параметров солнечной батареи в конкретной установке допускаются отклонения от предпочтительных чисел в соответствии с требованиями заказчика.</w:t>
      </w:r>
    </w:p>
    <w:p w:rsidR="00000000" w:rsidRDefault="00986629">
      <w:pPr>
        <w:ind w:left="0" w:firstLine="284"/>
        <w:jc w:val="both"/>
      </w:pPr>
      <w:r>
        <w:t xml:space="preserve">4.3 Величина номинального напряжения </w:t>
      </w:r>
      <w:proofErr w:type="spellStart"/>
      <w:r>
        <w:t>ФСМ</w:t>
      </w:r>
      <w:proofErr w:type="spellEnd"/>
      <w:r>
        <w:t xml:space="preserve"> должн</w:t>
      </w:r>
      <w:r>
        <w:t>а устанавливаться в зависимости от номинального напряжения подключаемой нагрузки. Номинальное напряжение следует выбирать из ряда 3,0; 4,5; 6,0; 9,0; 12; 24; 27; 48 В по ГОСТ 18275.</w:t>
      </w:r>
    </w:p>
    <w:p w:rsidR="00000000" w:rsidRDefault="00986629">
      <w:pPr>
        <w:ind w:left="0" w:firstLine="284"/>
        <w:jc w:val="both"/>
      </w:pPr>
      <w:r>
        <w:t xml:space="preserve">4.4 Габаритные размеры и массу </w:t>
      </w:r>
      <w:proofErr w:type="spellStart"/>
      <w:r>
        <w:t>ФСМ</w:t>
      </w:r>
      <w:proofErr w:type="spellEnd"/>
      <w:r>
        <w:t xml:space="preserve"> не нормируют.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center"/>
        <w:rPr>
          <w:b/>
          <w:sz w:val="22"/>
        </w:rPr>
      </w:pPr>
      <w:r>
        <w:rPr>
          <w:b/>
          <w:sz w:val="22"/>
        </w:rPr>
        <w:t>5 Обозначения типов модулей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both"/>
      </w:pPr>
      <w:r>
        <w:t>5.1 Структура обозначения типа фотоэлектрического солнечного модуля: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33"/>
        <w:gridCol w:w="425"/>
        <w:gridCol w:w="255"/>
        <w:gridCol w:w="255"/>
        <w:gridCol w:w="170"/>
        <w:gridCol w:w="255"/>
        <w:gridCol w:w="255"/>
        <w:gridCol w:w="170"/>
        <w:gridCol w:w="255"/>
        <w:gridCol w:w="255"/>
        <w:gridCol w:w="170"/>
        <w:gridCol w:w="255"/>
        <w:gridCol w:w="255"/>
        <w:gridCol w:w="3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58" w:type="dxa"/>
            <w:gridSpan w:val="2"/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510" w:type="dxa"/>
            <w:gridSpan w:val="2"/>
            <w:tcBorders>
              <w:bottom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170" w:type="dxa"/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510" w:type="dxa"/>
            <w:gridSpan w:val="2"/>
            <w:tcBorders>
              <w:bottom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170" w:type="dxa"/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510" w:type="dxa"/>
            <w:gridSpan w:val="2"/>
            <w:tcBorders>
              <w:bottom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170" w:type="dxa"/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510" w:type="dxa"/>
            <w:gridSpan w:val="2"/>
            <w:tcBorders>
              <w:bottom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370" w:type="dxa"/>
          </w:tcPr>
          <w:p w:rsidR="00000000" w:rsidRDefault="00986629">
            <w:pPr>
              <w:ind w:left="0" w:firstLine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680" w:type="dxa"/>
            <w:gridSpan w:val="2"/>
            <w:tcBorders>
              <w:right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680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680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680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625" w:type="dxa"/>
            <w:gridSpan w:val="2"/>
            <w:tcBorders>
              <w:left w:val="nil"/>
            </w:tcBorders>
          </w:tcPr>
          <w:p w:rsidR="00000000" w:rsidRDefault="00986629">
            <w:pPr>
              <w:ind w:left="0" w:firstLine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bottom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  <w:r>
              <w:t>Фотоэлектрический солнечный модуль (</w:t>
            </w:r>
            <w:proofErr w:type="spellStart"/>
            <w:r>
              <w:t>ФСМ</w:t>
            </w:r>
            <w:proofErr w:type="spellEnd"/>
            <w:r>
              <w:t>)</w:t>
            </w:r>
          </w:p>
        </w:tc>
        <w:tc>
          <w:tcPr>
            <w:tcW w:w="68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680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680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680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625" w:type="dxa"/>
            <w:gridSpan w:val="2"/>
            <w:tcBorders>
              <w:left w:val="nil"/>
            </w:tcBorders>
          </w:tcPr>
          <w:p w:rsidR="00000000" w:rsidRDefault="00986629">
            <w:pPr>
              <w:ind w:left="0" w:firstLine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bottom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  <w:r>
              <w:t>Мощность модуля (5.2)</w:t>
            </w:r>
          </w:p>
        </w:tc>
        <w:tc>
          <w:tcPr>
            <w:tcW w:w="680" w:type="dxa"/>
            <w:gridSpan w:val="2"/>
            <w:tcBorders>
              <w:bottom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68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680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680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625" w:type="dxa"/>
            <w:gridSpan w:val="2"/>
            <w:tcBorders>
              <w:left w:val="nil"/>
            </w:tcBorders>
          </w:tcPr>
          <w:p w:rsidR="00000000" w:rsidRDefault="00986629">
            <w:pPr>
              <w:ind w:left="0" w:firstLine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bottom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  <w:r>
              <w:t>Номинальное напряжение модуля (5.3)</w:t>
            </w:r>
          </w:p>
        </w:tc>
        <w:tc>
          <w:tcPr>
            <w:tcW w:w="680" w:type="dxa"/>
            <w:gridSpan w:val="2"/>
            <w:tcBorders>
              <w:bottom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680" w:type="dxa"/>
            <w:gridSpan w:val="3"/>
            <w:tcBorders>
              <w:bottom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68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680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625" w:type="dxa"/>
            <w:gridSpan w:val="2"/>
            <w:tcBorders>
              <w:left w:val="nil"/>
            </w:tcBorders>
          </w:tcPr>
          <w:p w:rsidR="00000000" w:rsidRDefault="00986629">
            <w:pPr>
              <w:ind w:left="0" w:firstLine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bottom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  <w:r>
              <w:t>Дополнительная информация (при необходимости, 5.</w:t>
            </w:r>
            <w:r>
              <w:t>4)</w:t>
            </w:r>
          </w:p>
        </w:tc>
        <w:tc>
          <w:tcPr>
            <w:tcW w:w="680" w:type="dxa"/>
            <w:gridSpan w:val="2"/>
            <w:tcBorders>
              <w:bottom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680" w:type="dxa"/>
            <w:gridSpan w:val="3"/>
            <w:tcBorders>
              <w:bottom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680" w:type="dxa"/>
            <w:gridSpan w:val="3"/>
            <w:tcBorders>
              <w:bottom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68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986629">
            <w:pPr>
              <w:ind w:left="0" w:firstLine="0"/>
              <w:jc w:val="both"/>
            </w:pPr>
          </w:p>
        </w:tc>
        <w:tc>
          <w:tcPr>
            <w:tcW w:w="625" w:type="dxa"/>
            <w:gridSpan w:val="2"/>
            <w:tcBorders>
              <w:left w:val="nil"/>
            </w:tcBorders>
          </w:tcPr>
          <w:p w:rsidR="00000000" w:rsidRDefault="00986629">
            <w:pPr>
              <w:ind w:left="0" w:firstLine="0"/>
              <w:jc w:val="both"/>
            </w:pPr>
          </w:p>
        </w:tc>
      </w:tr>
    </w:tbl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both"/>
      </w:pPr>
      <w:r>
        <w:t>5.2 Мощность модуля обозначают целым числом, близким к величине его пиковой мощности и выбираемым из ряда, приведенного в 4.2, по ближайшему меньшему значению.</w:t>
      </w:r>
    </w:p>
    <w:p w:rsidR="00000000" w:rsidRDefault="00986629">
      <w:pPr>
        <w:ind w:left="0" w:firstLine="284"/>
        <w:jc w:val="both"/>
      </w:pPr>
      <w:r>
        <w:t>5.3 Номинальное напряжение модуля обозначают целым числом, выбираемым из приведенного в ГОСТ 18275 ряда.</w:t>
      </w:r>
    </w:p>
    <w:p w:rsidR="00000000" w:rsidRDefault="00986629">
      <w:pPr>
        <w:ind w:left="0" w:firstLine="284"/>
        <w:jc w:val="both"/>
      </w:pPr>
      <w:r>
        <w:t>5.4 В качестве дополнительной информации следует указывать:</w:t>
      </w:r>
    </w:p>
    <w:p w:rsidR="00000000" w:rsidRDefault="00986629">
      <w:pPr>
        <w:ind w:left="0" w:firstLine="284"/>
        <w:jc w:val="both"/>
      </w:pPr>
      <w:r>
        <w:t>- предназначенность модуля для комбинированного производства электроэнергии и теплоты (например, индекс Т);</w:t>
      </w:r>
    </w:p>
    <w:p w:rsidR="00000000" w:rsidRDefault="00986629">
      <w:pPr>
        <w:ind w:left="0" w:firstLine="284"/>
        <w:jc w:val="both"/>
      </w:pPr>
      <w:r>
        <w:t xml:space="preserve">- использование двусторонних солнечных элементов (например, индекс </w:t>
      </w:r>
      <w:proofErr w:type="spellStart"/>
      <w:r>
        <w:t>Д</w:t>
      </w:r>
      <w:proofErr w:type="spellEnd"/>
      <w:r>
        <w:t>)</w:t>
      </w:r>
      <w:r>
        <w:t>;</w:t>
      </w:r>
    </w:p>
    <w:p w:rsidR="00000000" w:rsidRDefault="00986629">
      <w:pPr>
        <w:ind w:left="0" w:firstLine="284"/>
        <w:jc w:val="both"/>
      </w:pPr>
      <w:r>
        <w:lastRenderedPageBreak/>
        <w:t>- конструкцию каркаса модуля (например, индекс Г) и др.</w:t>
      </w:r>
    </w:p>
    <w:p w:rsidR="00000000" w:rsidRDefault="00986629">
      <w:pPr>
        <w:ind w:left="0" w:firstLine="284"/>
        <w:jc w:val="both"/>
      </w:pPr>
      <w:r>
        <w:t>5.5 Пример обозначения типа фотоэлектрического солнечного модуля с пиковой мощностью 30,6 Вт, номинальным напряжением 12 В и гибким каркасом: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center"/>
        <w:rPr>
          <w:i/>
        </w:rPr>
      </w:pPr>
      <w:proofErr w:type="spellStart"/>
      <w:r>
        <w:rPr>
          <w:i/>
        </w:rPr>
        <w:t>ФСМ</w:t>
      </w:r>
      <w:proofErr w:type="spellEnd"/>
      <w:r>
        <w:rPr>
          <w:i/>
        </w:rPr>
        <w:t xml:space="preserve"> - 30</w:t>
      </w:r>
      <w:r>
        <w:rPr>
          <w:i/>
        </w:rPr>
        <w:sym w:font="Symbol" w:char="F0BE"/>
      </w:r>
      <w:r>
        <w:rPr>
          <w:i/>
        </w:rPr>
        <w:t>12Г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both"/>
      </w:pPr>
      <w:r>
        <w:t>То же, для комбинированного преобразования солнечной энергии в электроэнергию и теплоту:</w:t>
      </w:r>
    </w:p>
    <w:p w:rsidR="00000000" w:rsidRDefault="00986629">
      <w:pPr>
        <w:ind w:left="0" w:firstLine="284"/>
        <w:jc w:val="center"/>
        <w:rPr>
          <w:i/>
        </w:rPr>
      </w:pPr>
      <w:proofErr w:type="spellStart"/>
      <w:r>
        <w:rPr>
          <w:i/>
        </w:rPr>
        <w:t>ФСМ</w:t>
      </w:r>
      <w:proofErr w:type="spellEnd"/>
      <w:r>
        <w:rPr>
          <w:i/>
        </w:rPr>
        <w:t xml:space="preserve"> - 30</w:t>
      </w:r>
      <w:r>
        <w:rPr>
          <w:i/>
        </w:rPr>
        <w:sym w:font="Symbol" w:char="F0BE"/>
      </w:r>
      <w:r>
        <w:rPr>
          <w:i/>
        </w:rPr>
        <w:t>12Т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center"/>
        <w:rPr>
          <w:b/>
        </w:rPr>
      </w:pPr>
      <w:r>
        <w:rPr>
          <w:b/>
        </w:rPr>
        <w:t xml:space="preserve">ПРИЛОЖЕНИЕ А </w:t>
      </w:r>
    </w:p>
    <w:p w:rsidR="00000000" w:rsidRDefault="00986629">
      <w:pPr>
        <w:ind w:left="0" w:firstLine="284"/>
        <w:jc w:val="center"/>
      </w:pPr>
      <w:r>
        <w:t>(обязательное)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center"/>
        <w:rPr>
          <w:b/>
        </w:rPr>
      </w:pPr>
      <w:r>
        <w:rPr>
          <w:b/>
        </w:rPr>
        <w:t xml:space="preserve">Методика определения основных рабочих параметров </w:t>
      </w:r>
    </w:p>
    <w:p w:rsidR="00000000" w:rsidRDefault="00986629">
      <w:pPr>
        <w:ind w:left="0" w:firstLine="284"/>
        <w:jc w:val="center"/>
        <w:rPr>
          <w:b/>
        </w:rPr>
      </w:pPr>
      <w:r>
        <w:rPr>
          <w:b/>
        </w:rPr>
        <w:t>фотоэлектрического солнечного модуля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both"/>
      </w:pPr>
      <w:r>
        <w:t xml:space="preserve">А.1 Электрическая схема для измерения </w:t>
      </w:r>
      <w:proofErr w:type="spellStart"/>
      <w:r>
        <w:t>ВАХ</w:t>
      </w:r>
      <w:proofErr w:type="spellEnd"/>
      <w:r>
        <w:t xml:space="preserve"> </w:t>
      </w:r>
      <w:proofErr w:type="spellStart"/>
      <w:r>
        <w:t>ФСМ</w:t>
      </w:r>
      <w:proofErr w:type="spellEnd"/>
      <w:r>
        <w:t xml:space="preserve"> приведена на рисунке А1.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41.75pt">
            <v:imagedata r:id="rId4" o:title=""/>
          </v:shape>
        </w:pict>
      </w:r>
    </w:p>
    <w:p w:rsidR="00000000" w:rsidRDefault="00986629">
      <w:pPr>
        <w:ind w:left="0" w:firstLine="284"/>
        <w:jc w:val="center"/>
      </w:pPr>
      <w:r>
        <w:pict>
          <v:shape id="_x0000_i1026" type="#_x0000_t75" style="width:194.25pt;height:147pt">
            <v:imagedata r:id="rId5" o:title=""/>
          </v:shape>
        </w:pict>
      </w:r>
    </w:p>
    <w:p w:rsidR="00000000" w:rsidRDefault="00986629">
      <w:pPr>
        <w:ind w:left="0" w:firstLine="284"/>
        <w:jc w:val="center"/>
      </w:pPr>
    </w:p>
    <w:p w:rsidR="00000000" w:rsidRDefault="00986629">
      <w:pPr>
        <w:ind w:left="0" w:firstLine="284"/>
        <w:jc w:val="center"/>
      </w:pPr>
      <w:proofErr w:type="spellStart"/>
      <w:r>
        <w:rPr>
          <w:i/>
          <w:smallCaps/>
          <w:lang w:val="en-US"/>
        </w:rPr>
        <w:t>R</w:t>
      </w:r>
      <w:proofErr w:type="spellEnd"/>
      <w:r>
        <w:rPr>
          <w:smallCaps/>
          <w:vertAlign w:val="subscript"/>
        </w:rPr>
        <w:t>э</w:t>
      </w:r>
      <w:r>
        <w:rPr>
          <w:i/>
          <w:smallCaps/>
        </w:rPr>
        <w:t xml:space="preserve"> </w:t>
      </w:r>
      <w:r>
        <w:rPr>
          <w:i/>
        </w:rPr>
        <w:t>—</w:t>
      </w:r>
      <w:r>
        <w:t xml:space="preserve"> специальная регулируемая нагрузка, эквивалентная переменному резистору;</w:t>
      </w:r>
    </w:p>
    <w:p w:rsidR="00000000" w:rsidRDefault="00986629">
      <w:pPr>
        <w:ind w:left="0" w:firstLine="284"/>
        <w:jc w:val="center"/>
      </w:pPr>
      <w:r>
        <w:t>С — измерительный конденсатор расчетной емкости;</w:t>
      </w:r>
      <w:r>
        <w:rPr>
          <w:lang w:val="en-US"/>
        </w:rPr>
        <w:t xml:space="preserve"> </w:t>
      </w:r>
    </w:p>
    <w:p w:rsidR="00000000" w:rsidRDefault="00986629">
      <w:pPr>
        <w:ind w:left="0" w:firstLine="284"/>
        <w:jc w:val="center"/>
      </w:pPr>
      <w:proofErr w:type="spellStart"/>
      <w:r>
        <w:rPr>
          <w:lang w:val="en-US"/>
        </w:rPr>
        <w:t>D</w:t>
      </w:r>
      <w:r>
        <w:rPr>
          <w:vertAlign w:val="subscript"/>
        </w:rPr>
        <w:t>т</w:t>
      </w:r>
      <w:proofErr w:type="spellEnd"/>
      <w:r>
        <w:rPr>
          <w:lang w:val="en-US"/>
        </w:rPr>
        <w:t xml:space="preserve"> —</w:t>
      </w:r>
      <w:r>
        <w:t xml:space="preserve"> датчик тока к программе компьютера;</w:t>
      </w:r>
      <w:r>
        <w:rPr>
          <w:lang w:val="en-US"/>
        </w:rPr>
        <w:t xml:space="preserve"> </w:t>
      </w:r>
    </w:p>
    <w:p w:rsidR="00000000" w:rsidRDefault="00986629">
      <w:pPr>
        <w:ind w:left="0" w:firstLine="284"/>
        <w:jc w:val="center"/>
      </w:pPr>
      <w:proofErr w:type="spellStart"/>
      <w:r>
        <w:rPr>
          <w:i/>
          <w:lang w:val="en-US"/>
        </w:rPr>
        <w:t>D</w:t>
      </w:r>
      <w:r>
        <w:rPr>
          <w:vertAlign w:val="subscript"/>
        </w:rPr>
        <w:t>н</w:t>
      </w:r>
      <w:proofErr w:type="spellEnd"/>
      <w:r>
        <w:rPr>
          <w:i/>
          <w:lang w:val="en-US"/>
        </w:rPr>
        <w:t xml:space="preserve"> —</w:t>
      </w:r>
      <w:r>
        <w:t xml:space="preserve"> датчик напряжения к программе компьютера</w:t>
      </w:r>
    </w:p>
    <w:p w:rsidR="00000000" w:rsidRDefault="00986629">
      <w:pPr>
        <w:ind w:left="0" w:firstLine="284"/>
        <w:jc w:val="center"/>
      </w:pPr>
    </w:p>
    <w:p w:rsidR="00000000" w:rsidRDefault="00986629">
      <w:pPr>
        <w:ind w:left="0" w:firstLine="284"/>
        <w:jc w:val="center"/>
      </w:pPr>
      <w:r>
        <w:t xml:space="preserve">Рисунок А1 — Электрическая схема измерения </w:t>
      </w:r>
      <w:proofErr w:type="spellStart"/>
      <w:r>
        <w:t>ВАХ</w:t>
      </w:r>
      <w:proofErr w:type="spellEnd"/>
      <w:r>
        <w:t xml:space="preserve"> </w:t>
      </w:r>
      <w:proofErr w:type="spellStart"/>
      <w:r>
        <w:t>ФСМ</w:t>
      </w:r>
      <w:proofErr w:type="spellEnd"/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both"/>
      </w:pPr>
      <w:r>
        <w:t xml:space="preserve">А.2 Регистрируют </w:t>
      </w:r>
      <w:proofErr w:type="spellStart"/>
      <w:r>
        <w:t>ВАХ</w:t>
      </w:r>
      <w:proofErr w:type="spellEnd"/>
      <w:r>
        <w:t xml:space="preserve"> </w:t>
      </w:r>
      <w:proofErr w:type="spellStart"/>
      <w:r>
        <w:t>ФСМ</w:t>
      </w:r>
      <w:proofErr w:type="spellEnd"/>
      <w:r>
        <w:t xml:space="preserve"> при </w:t>
      </w:r>
      <w:proofErr w:type="spellStart"/>
      <w:r>
        <w:t>СУИ</w:t>
      </w:r>
      <w:proofErr w:type="spellEnd"/>
      <w:r>
        <w:t>. По максимальному значению произведения тока на напряжение определяют пиковую мощность и выбирают величину номинального напряжения из ряда по 4.3 как ближайшее меньшее значение напряжения при пиковой мощности.</w:t>
      </w:r>
    </w:p>
    <w:p w:rsidR="00000000" w:rsidRDefault="00986629">
      <w:pPr>
        <w:ind w:left="0" w:firstLine="284"/>
        <w:jc w:val="both"/>
      </w:pPr>
      <w:r>
        <w:t xml:space="preserve">A.3 Для определения термических коэффициентов измерение </w:t>
      </w:r>
      <w:proofErr w:type="spellStart"/>
      <w:r>
        <w:t>ВАХ</w:t>
      </w:r>
      <w:proofErr w:type="spellEnd"/>
      <w:r>
        <w:t xml:space="preserve"> по А.2 повторяют при температуре (50±3), 198 </w:t>
      </w:r>
      <w:r>
        <w:sym w:font="Symbol" w:char="F0B0"/>
      </w:r>
      <w:r>
        <w:t>С.</w:t>
      </w:r>
    </w:p>
    <w:p w:rsidR="00000000" w:rsidRDefault="00986629">
      <w:pPr>
        <w:ind w:left="0" w:firstLine="284"/>
        <w:jc w:val="both"/>
      </w:pPr>
      <w:r>
        <w:t xml:space="preserve">А.4 Световой поток от осветительного прибора настраивают по фототоку эталонного солнечного элемента, измеренному при </w:t>
      </w:r>
      <w:proofErr w:type="spellStart"/>
      <w:r>
        <w:t>СУИ</w:t>
      </w:r>
      <w:proofErr w:type="spellEnd"/>
      <w:r>
        <w:t>.</w:t>
      </w:r>
    </w:p>
    <w:p w:rsidR="00000000" w:rsidRDefault="00986629">
      <w:pPr>
        <w:ind w:left="0" w:firstLine="284"/>
        <w:jc w:val="both"/>
      </w:pPr>
      <w:r>
        <w:t xml:space="preserve">А.5 Схему, методику и средства измерения основных рабочих параметров, освещенности и температуры </w:t>
      </w:r>
      <w:proofErr w:type="spellStart"/>
      <w:r>
        <w:t>ФСМ</w:t>
      </w:r>
      <w:proofErr w:type="spellEnd"/>
      <w:r>
        <w:t xml:space="preserve"> указывают в инструкции по эксплуатации испытательного стенда.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both"/>
      </w:pPr>
      <w:r>
        <w:t>Ключевые слова: солнечная энергия, фотоэлектрические солнечные модули, типы, параметры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center"/>
        <w:rPr>
          <w:b/>
          <w:sz w:val="22"/>
        </w:rPr>
      </w:pPr>
      <w:r>
        <w:rPr>
          <w:b/>
          <w:sz w:val="22"/>
        </w:rPr>
        <w:t>Содержание</w:t>
      </w:r>
    </w:p>
    <w:p w:rsidR="00000000" w:rsidRDefault="00986629">
      <w:pPr>
        <w:ind w:left="0" w:firstLine="284"/>
        <w:jc w:val="both"/>
      </w:pPr>
    </w:p>
    <w:p w:rsidR="00000000" w:rsidRDefault="00986629">
      <w:pPr>
        <w:ind w:left="0" w:firstLine="284"/>
        <w:jc w:val="both"/>
      </w:pPr>
      <w:r>
        <w:t>1 Область приме</w:t>
      </w:r>
      <w:r>
        <w:t>нения</w:t>
      </w:r>
    </w:p>
    <w:p w:rsidR="00000000" w:rsidRDefault="00986629">
      <w:pPr>
        <w:ind w:left="0" w:firstLine="284"/>
        <w:jc w:val="both"/>
      </w:pPr>
      <w:r>
        <w:t xml:space="preserve">2 Нормативные ссылки </w:t>
      </w:r>
    </w:p>
    <w:p w:rsidR="00000000" w:rsidRDefault="00986629">
      <w:pPr>
        <w:ind w:left="0" w:firstLine="284"/>
        <w:jc w:val="both"/>
      </w:pPr>
      <w:r>
        <w:t>3 Определения и сокращения</w:t>
      </w:r>
    </w:p>
    <w:p w:rsidR="00000000" w:rsidRDefault="00986629">
      <w:pPr>
        <w:ind w:left="0" w:firstLine="284"/>
        <w:jc w:val="both"/>
      </w:pPr>
      <w:r>
        <w:t>4 Требования</w:t>
      </w:r>
    </w:p>
    <w:p w:rsidR="00000000" w:rsidRDefault="00986629">
      <w:pPr>
        <w:ind w:left="0" w:firstLine="284"/>
        <w:jc w:val="both"/>
      </w:pPr>
      <w:r>
        <w:t>5 Обозначения типов модулей</w:t>
      </w:r>
    </w:p>
    <w:p w:rsidR="00000000" w:rsidRDefault="00986629">
      <w:pPr>
        <w:ind w:left="0" w:firstLine="284"/>
        <w:jc w:val="both"/>
      </w:pPr>
      <w:r>
        <w:t>Приложение А Методика определения основных рабочих параметров фотоэлектрического солнечного модуля</w:t>
      </w:r>
    </w:p>
    <w:p w:rsidR="00000000" w:rsidRDefault="00986629">
      <w:pPr>
        <w:ind w:left="0"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629"/>
    <w:rsid w:val="009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left="200" w:firstLine="50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5612</Characters>
  <Application>Microsoft Office Word</Application>
  <DocSecurity>0</DocSecurity>
  <Lines>46</Lines>
  <Paragraphs>13</Paragraphs>
  <ScaleCrop>false</ScaleCrop>
  <Company>Elcom Ltd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51597-2000</dc:title>
  <dc:subject/>
  <dc:creator>CNTI</dc:creator>
  <cp:keywords/>
  <dc:description/>
  <cp:lastModifiedBy>Parhomeiai</cp:lastModifiedBy>
  <cp:revision>2</cp:revision>
  <dcterms:created xsi:type="dcterms:W3CDTF">2013-04-11T11:15:00Z</dcterms:created>
  <dcterms:modified xsi:type="dcterms:W3CDTF">2013-04-11T11:15:00Z</dcterms:modified>
</cp:coreProperties>
</file>