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731D5">
      <w:pPr>
        <w:ind w:firstLine="284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ГОСТ Р ИСО 14020-99</w:t>
      </w:r>
    </w:p>
    <w:p w:rsidR="00000000" w:rsidRDefault="00C731D5">
      <w:pPr>
        <w:ind w:firstLine="284"/>
        <w:jc w:val="right"/>
        <w:rPr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УДК 003.62(084):006.354                                                                                            Группа Т58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center"/>
        <w:rPr>
          <w:sz w:val="20"/>
        </w:rPr>
      </w:pPr>
      <w:r>
        <w:rPr>
          <w:sz w:val="20"/>
        </w:rPr>
        <w:t>ГОСУДАРСТВЕННЫЙ СТАНДАРТ РОССИЙСКОЙ ФЕДЕРАЦИИ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 xml:space="preserve">ЭКОЛОГИЧЕСКИЕ ЭТИКЕТКИ И ДЕКЛАРАЦИИ </w:t>
      </w:r>
    </w:p>
    <w:p w:rsidR="00000000" w:rsidRDefault="00C731D5">
      <w:pPr>
        <w:ind w:firstLine="284"/>
        <w:jc w:val="center"/>
        <w:rPr>
          <w:b/>
          <w:sz w:val="20"/>
        </w:rPr>
      </w:pPr>
    </w:p>
    <w:p w:rsidR="00000000" w:rsidRDefault="00C731D5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Основные принципы</w:t>
      </w:r>
    </w:p>
    <w:p w:rsidR="00000000" w:rsidRDefault="00C731D5">
      <w:pPr>
        <w:ind w:firstLine="284"/>
        <w:jc w:val="center"/>
        <w:rPr>
          <w:sz w:val="20"/>
        </w:rPr>
      </w:pPr>
    </w:p>
    <w:p w:rsidR="00000000" w:rsidRDefault="00C731D5">
      <w:pPr>
        <w:ind w:firstLine="284"/>
        <w:jc w:val="center"/>
        <w:rPr>
          <w:sz w:val="20"/>
        </w:rPr>
      </w:pPr>
      <w:r>
        <w:rPr>
          <w:sz w:val="20"/>
          <w:lang w:val="en-US"/>
        </w:rPr>
        <w:t>Env</w:t>
      </w:r>
      <w:r>
        <w:rPr>
          <w:sz w:val="20"/>
          <w:lang w:val="en-US"/>
        </w:rPr>
        <w:t>ironmental labels and declarations. General principles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ОКС 13.020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ОКСТУ 0017</w:t>
      </w:r>
    </w:p>
    <w:p w:rsidR="00000000" w:rsidRDefault="00C731D5">
      <w:pPr>
        <w:ind w:firstLine="284"/>
        <w:jc w:val="both"/>
        <w:rPr>
          <w:b/>
          <w:sz w:val="20"/>
        </w:rPr>
      </w:pPr>
    </w:p>
    <w:p w:rsidR="00000000" w:rsidRDefault="00C731D5">
      <w:pPr>
        <w:ind w:firstLine="284"/>
        <w:jc w:val="right"/>
        <w:rPr>
          <w:i/>
          <w:sz w:val="20"/>
        </w:rPr>
      </w:pPr>
      <w:r>
        <w:rPr>
          <w:i/>
          <w:sz w:val="20"/>
        </w:rPr>
        <w:t>Дата введения 2000—07—01</w:t>
      </w:r>
    </w:p>
    <w:p w:rsidR="00000000" w:rsidRDefault="00C731D5">
      <w:pPr>
        <w:ind w:firstLine="284"/>
        <w:jc w:val="both"/>
        <w:rPr>
          <w:b/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1 РАЗРАБОТАН Всероссийским научно-исследовательским институтом стандартизации Госстандарта России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ВНЕСЕН Научно-техническим управлением Госстандарта России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2 ПРИНЯТ И ВВЕДЕН В ДЕЙСТВИЕ Постановлением Госстандарта России от 27 декабря 1999 г. № 716-ст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3 Настоящий стандарт представляет собой аутентичный текст международного стандарта ИСО 14020—98 «Экологические этикетки и декларации. Основные принципы»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4 ВВЕДЕН ВПЕРВЫЕ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center"/>
        <w:rPr>
          <w:b/>
        </w:rPr>
      </w:pPr>
      <w:r>
        <w:rPr>
          <w:b/>
        </w:rPr>
        <w:t>Введение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Экологические этикетки и декларации — один из инструментов экологического управления, являющегося объектом рассмотрения комплекса стандартов ИСО 14000.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Экологические этикетки и декларации дают информацию о продукции или услугах в отношении их общих экологических характеристик, одного или нескольких экологических аспектов. Покупатели и потенциальные покупатели могут использовать эту информацию при выборе продукции или услуг, если такой выбор основывается на соображениях экологич</w:t>
      </w:r>
      <w:r>
        <w:rPr>
          <w:sz w:val="20"/>
        </w:rPr>
        <w:t>ности или других факторах. Продавец продукции или услуги надеется, что экологическая этикетка или декларация могут быть эффективно использованы при принятии решений в пользу той или иной продукции или услуги. Если экологическая этикетка или декларация дают такую информацию, то сектор рынка такой продукции или услуги может быть расширен, и другие производители продукции могут отреагировать на это улучшением экологических аспектов своей продукции или услуги. Это будет способствовать расширению использования э</w:t>
      </w:r>
      <w:r>
        <w:rPr>
          <w:sz w:val="20"/>
        </w:rPr>
        <w:t>кологических этикеток и деклараций, что в итоге ведет к снижению вредного воздействия на окружающую среду соответствующего вида продукции или услуг.</w:t>
      </w:r>
    </w:p>
    <w:p w:rsidR="00000000" w:rsidRDefault="00C731D5">
      <w:pPr>
        <w:ind w:firstLine="284"/>
        <w:jc w:val="both"/>
        <w:rPr>
          <w:b/>
          <w:sz w:val="20"/>
        </w:rPr>
      </w:pPr>
    </w:p>
    <w:p w:rsidR="00000000" w:rsidRDefault="00C731D5">
      <w:pPr>
        <w:ind w:firstLine="284"/>
        <w:jc w:val="center"/>
        <w:rPr>
          <w:b/>
        </w:rPr>
      </w:pPr>
      <w:r>
        <w:rPr>
          <w:b/>
        </w:rPr>
        <w:t>1 Область применения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Настоящий стандарт определяет основные принципы разработки и использования экологических этикеток и деклараций. Предполагается, что другие государственные стандарты, реализующие прямое применение стандартов ИСО серии 14020 [1, 2, 3], будут использоваться с учетом положений настоящего стандарта.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Предпочтительными являются стандарты, предус</w:t>
      </w:r>
      <w:r>
        <w:rPr>
          <w:sz w:val="20"/>
        </w:rPr>
        <w:t>матривающие более конкретные требования по сравнению с настоящим стандартом.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Настоящий государственный стандарт не предполагается использовать для целей сертификации и регистрации.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center"/>
        <w:rPr>
          <w:b/>
        </w:rPr>
      </w:pPr>
      <w:r>
        <w:rPr>
          <w:b/>
        </w:rPr>
        <w:t>2 Нормативные ссылки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В настоящем стандарте использована ссылка на следующий стандарт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ГОСТ Р ИСО 14040—99 Управление окружающей средой. Оценка жизненного цикла. Принципы и структура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center"/>
        <w:rPr>
          <w:b/>
        </w:rPr>
      </w:pPr>
      <w:r>
        <w:rPr>
          <w:b/>
        </w:rPr>
        <w:t>3 Термины и определения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В настоящем стандарте использованы следующие термины и их определения.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3.1</w:t>
      </w:r>
      <w:r>
        <w:rPr>
          <w:b/>
          <w:sz w:val="20"/>
        </w:rPr>
        <w:t xml:space="preserve"> экологическая этикетка, экологическая деклараци</w:t>
      </w:r>
      <w:r>
        <w:rPr>
          <w:b/>
          <w:sz w:val="20"/>
        </w:rPr>
        <w:t>я</w:t>
      </w:r>
      <w:r>
        <w:rPr>
          <w:sz w:val="20"/>
          <w:lang w:val="en-US"/>
        </w:rPr>
        <w:t xml:space="preserve"> (Environmental label, environmental declaration):</w:t>
      </w:r>
      <w:r>
        <w:rPr>
          <w:sz w:val="20"/>
        </w:rPr>
        <w:t xml:space="preserve"> Заявление, информирующее об экологических аспектах продукции или услуг.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both"/>
        <w:rPr>
          <w:sz w:val="18"/>
        </w:rPr>
      </w:pPr>
      <w:r>
        <w:rPr>
          <w:sz w:val="18"/>
        </w:rPr>
        <w:t>Примечание — Экологические этикетки или декларации могут иметь форму заявления, знака или графического изображения на этикетке продукции или упаковки, приводимого в сопроводительной документации, техническом описании, рекламном проспекте, информационном листке для общественности или другим способом.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3.2</w:t>
      </w:r>
      <w:r>
        <w:rPr>
          <w:b/>
          <w:sz w:val="20"/>
        </w:rPr>
        <w:t xml:space="preserve"> жизненный цикл</w:t>
      </w:r>
      <w:r>
        <w:rPr>
          <w:sz w:val="20"/>
          <w:lang w:val="en-US"/>
        </w:rPr>
        <w:t xml:space="preserve"> (Life-cycle):</w:t>
      </w:r>
      <w:r>
        <w:rPr>
          <w:sz w:val="20"/>
        </w:rPr>
        <w:t xml:space="preserve"> Последовательные и взаимосвязанные стадии продукцион</w:t>
      </w:r>
      <w:r>
        <w:rPr>
          <w:sz w:val="20"/>
        </w:rPr>
        <w:t>ной системы — от добычи сырьевых материалов или использования природных ресурсов до размещения (утилизации) отходов (ГОСТ Р ИСО 14040).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both"/>
        <w:rPr>
          <w:sz w:val="18"/>
        </w:rPr>
      </w:pPr>
      <w:r>
        <w:rPr>
          <w:sz w:val="18"/>
        </w:rPr>
        <w:t>Примечание — Понятие «продукция» включает товары или услуги.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3.3</w:t>
      </w:r>
      <w:r>
        <w:rPr>
          <w:b/>
          <w:sz w:val="20"/>
        </w:rPr>
        <w:t xml:space="preserve"> экологический аспект</w:t>
      </w:r>
      <w:r>
        <w:rPr>
          <w:sz w:val="20"/>
          <w:lang w:val="en-US"/>
        </w:rPr>
        <w:t xml:space="preserve"> (Environmental aspect):</w:t>
      </w:r>
      <w:r>
        <w:rPr>
          <w:sz w:val="20"/>
        </w:rPr>
        <w:t xml:space="preserve"> Элемент деятельности организации, продукции или услуги, свидетельствующий о взаимодействии с окружающей средой.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center"/>
        <w:rPr>
          <w:b/>
        </w:rPr>
      </w:pPr>
      <w:r>
        <w:rPr>
          <w:b/>
        </w:rPr>
        <w:t>4 Цели экологических этикеток и деклараций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Общая цель экологических этикеток и деклараций — доведение до потребителя надежной, точной и достоверной ин</w:t>
      </w:r>
      <w:r>
        <w:rPr>
          <w:sz w:val="20"/>
        </w:rPr>
        <w:t>формации об экологических аспектах продукции и услугах, способствование удовлетворению потребностей в такой продукции и услугах, которые оказывают меньшее отрицательное воздействие на окружающую среду. Тем самым стимулируется воздействие рынка на непрерывное улучшение окружающей среды.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center"/>
        <w:rPr>
          <w:b/>
        </w:rPr>
      </w:pPr>
      <w:r>
        <w:rPr>
          <w:b/>
        </w:rPr>
        <w:t>5 Основные принципы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  <w:r>
        <w:rPr>
          <w:b/>
          <w:sz w:val="20"/>
        </w:rPr>
        <w:t>5.1 Общие положения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Все принципы (1—10) применимы ко всем экологическим этикеткам и декларациям.</w:t>
      </w:r>
    </w:p>
    <w:p w:rsidR="00000000" w:rsidRDefault="00C731D5">
      <w:pPr>
        <w:ind w:firstLine="284"/>
        <w:jc w:val="both"/>
        <w:rPr>
          <w:b/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  <w:r>
        <w:rPr>
          <w:b/>
          <w:sz w:val="20"/>
        </w:rPr>
        <w:t>5.2 Принцип 1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5.2.1 Содержание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Экологические этикетки и декларации должны быть точными, проверяемыми, соо</w:t>
      </w:r>
      <w:r>
        <w:rPr>
          <w:sz w:val="20"/>
        </w:rPr>
        <w:t>тветствующими назначению и не вводящими в заблуждение.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5.2.2 Пояснения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Полезность и эффективность экологических этикеток и деклараций зависит от надежности информации об экологических аспектах продукции или услуги.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Практическая и техническая основа экологических этикеток и деклараций должна быть проверяемой. Экологические этикетки и декларации должны давать точно ориентированную информацию. Они должны характеризовать экологические аспекты, относящиеся к фактическим обстоятельствам добычи соответствующих при</w:t>
      </w:r>
      <w:r>
        <w:rPr>
          <w:sz w:val="20"/>
        </w:rPr>
        <w:t>родных ресурсов, производства, распределения, использования, утилизации продукции или услуги. Периодическое рассмотрение основания для использования экологических этикеток и деклараций должно учитывать нововведения. Частота сбора информации должна соответствовать инновационным периодам. Экологические этикетки и декларации должны быть понятными для потенциальных потребителей продукции или услуги.</w:t>
      </w:r>
    </w:p>
    <w:p w:rsidR="00000000" w:rsidRDefault="00C731D5">
      <w:pPr>
        <w:ind w:firstLine="284"/>
        <w:jc w:val="both"/>
        <w:rPr>
          <w:b/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  <w:r>
        <w:rPr>
          <w:b/>
          <w:sz w:val="20"/>
        </w:rPr>
        <w:t>5.3 Принцип 2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5.3.1 Содержание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lastRenderedPageBreak/>
        <w:t>Процедуры и требования к экологическим этикеткам и декларациям не должны создават</w:t>
      </w:r>
      <w:r>
        <w:rPr>
          <w:sz w:val="20"/>
        </w:rPr>
        <w:t>ь необоснованных барьеров в международной торговле.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5.3.2 Пояснения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Для реализации вышеуказанного принципа должны применяться положения и рекомендации Всемирной торговой' организации (ВТО)</w:t>
      </w:r>
    </w:p>
    <w:p w:rsidR="00000000" w:rsidRDefault="00C731D5">
      <w:pPr>
        <w:ind w:firstLine="284"/>
        <w:jc w:val="both"/>
        <w:rPr>
          <w:b/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  <w:r>
        <w:rPr>
          <w:b/>
          <w:sz w:val="20"/>
        </w:rPr>
        <w:t>5.4 Принцип 3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5.4.1 Содержание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Экологические этикетки и декларации должны основываться на научной методологии, достаточной для удостоверения использования точных и воспроизводимых данных.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5.4.2 Пояснения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Информацию, относящуюся к экологическим этикеткам и декларациям, собирают и обрабатывают с использованием признанных м</w:t>
      </w:r>
      <w:r>
        <w:rPr>
          <w:sz w:val="20"/>
        </w:rPr>
        <w:t>етодов соответствующих научных или технических дисциплин или других научных методов, соответствующих принятым стандартам, имеющим международное признание (международные, региональные или национальные стандарты). Используют также методы, принятые в промышленности или торговле, которые являются предметом анализа или пересмотра.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Полученная информация должна быть точной и воспроизводимой.</w:t>
      </w:r>
    </w:p>
    <w:p w:rsidR="00000000" w:rsidRDefault="00C731D5">
      <w:pPr>
        <w:ind w:firstLine="284"/>
        <w:jc w:val="both"/>
        <w:rPr>
          <w:b/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  <w:r>
        <w:rPr>
          <w:b/>
          <w:sz w:val="20"/>
        </w:rPr>
        <w:t>5.5 Принцип 4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5.5.1 Содержание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Информация, относящаяся к процедуре, методологии и любым критериям обеспечения экологических</w:t>
      </w:r>
      <w:r>
        <w:rPr>
          <w:sz w:val="20"/>
        </w:rPr>
        <w:t xml:space="preserve"> этикеток и деклараций, должна быть доступной для запросов со стороны всех заинтересованных сторон.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5.5.2 Пояснения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Информация должна отражать используемые принципы, допущения и граничные условия. Информация должна быть достаточной и конкретной, позволяющей потребителям, потенциальным потребителям и другим заинтересованным сторонам оценивать и сравнивать экологические этикетки и декларации на базе соответствующих научных принципов, приводимых ссылок и их общей значимости, оценивать соответствие экологическо</w:t>
      </w:r>
      <w:r>
        <w:rPr>
          <w:sz w:val="20"/>
        </w:rPr>
        <w:t>й этикетки или декларации международным стандартам. Информация должна также четко указывать, основана ли этикетка или декларация на принципах самодекларации или на решении независимой стороны.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Средства получения такой информации должны быть известны потребителям или потенциальным потребителям на рынке продукции или услуг (5.10). При этом могут быть ограничения доступности конкретной информации, связанные с ее конфиденциальным характером, охраной интеллектуальной собственности или подобными законными огранич</w:t>
      </w:r>
      <w:r>
        <w:rPr>
          <w:sz w:val="20"/>
        </w:rPr>
        <w:t>ениями.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  <w:r>
        <w:rPr>
          <w:b/>
          <w:sz w:val="20"/>
        </w:rPr>
        <w:t>5.6 Принцип 5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5.6.1 Содержание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Разработка экологических этикеток и деклараций должна учитывать все аспекты жизненного цикла продукции или услуги.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5.6.2 Пояснения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Жизненный цикл продукции или услуги охватывает все стадии от процессов получения и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поставки сырьевых материалов или добычи природных ресурсов до конечной стадии — утилизации и размещения отходов. Рассмотрение жизненного цикла продукции или услуги дает возможность стороне, разрабатывающей экологическую этикетку или декларацию, учесть все фа</w:t>
      </w:r>
      <w:r>
        <w:rPr>
          <w:sz w:val="20"/>
        </w:rPr>
        <w:t>кторы, оказывающие воздействие на окружающую среду. В дальнейшем это позволяет разрабатывающей стороне выявить возможности увеличения одного вида воздействия в процессе уменьшения другого.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Оценка жизненного цикла продукции или услуги помогает выявить соответствующие характеристики и критерии для экологических этикеток и деклараций или определить степень значимости экологического заявления. Широта рассмотрения характеристик жизненного цикла зависит от типа экологической этикетки или декларации, имеющейся баз</w:t>
      </w:r>
      <w:r>
        <w:rPr>
          <w:sz w:val="20"/>
        </w:rPr>
        <w:t>ы для заявления и характеристик группы однородной продукции.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Это не означает обязательности рассмотрения оценки жизненного цикла.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  <w:r>
        <w:rPr>
          <w:b/>
          <w:sz w:val="20"/>
        </w:rPr>
        <w:t>5.7 Принцип 6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5.7.1 Содержание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Экологические этикетки и декларации не должны препятствовать нововведениям для поддержания или улучшения экологических характеристик.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5.7.2 Пояснения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Требования должны быть выражены в терминах экологических характеристик, а не в виде намерений или описательных характеристик, что обеспечивает максимальную гибкость для технических или других инноваци</w:t>
      </w:r>
      <w:r>
        <w:rPr>
          <w:sz w:val="20"/>
        </w:rPr>
        <w:t>й. Не допускается предписывающий характер проектных критериев или косвенные технологические предпочтения из-за возможности воспрепятствовать усовершенствованиям продукции или услуг, которые не влияют на обеспечение соответствия экологическим требованиям или могут привести к значительным улучшениям экологических характеристик.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  <w:r>
        <w:rPr>
          <w:b/>
          <w:sz w:val="20"/>
        </w:rPr>
        <w:t>5.8 Принцип 7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5.8.1 Содержание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 xml:space="preserve">В экологические этикетки и декларации должны быть включены только те административные требования или предоставляемая информация, которые необходимы для </w:t>
      </w:r>
      <w:r>
        <w:rPr>
          <w:sz w:val="20"/>
        </w:rPr>
        <w:t>оценки соответствия используемым критериям и стандартам.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5.8.2 Пояснения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Все организации должны иметь равные возможности для использования экологических этикеток и деклараций. Их участие не должно сдерживаться посторонними факторами или требованиями, такими как усложненность процедур или предоставление необоснованной информации, или административными требованиями.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  <w:r>
        <w:rPr>
          <w:b/>
          <w:sz w:val="20"/>
        </w:rPr>
        <w:t>5.9 Принцип 8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5.9.1 Содержание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В процессе разработки экологических этикеток и деклараций должны быть открытые широкие консультации с заинтересов</w:t>
      </w:r>
      <w:r>
        <w:rPr>
          <w:sz w:val="20"/>
        </w:rPr>
        <w:t>анными сторонами. В рамках этого процесса необходимо пытаться обеспечивать согласие сторон.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5.9.2 Пояснения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Процесс разработки стандартов и критериев должен быть открытым для всех заинтересованных сторон. Стороны, приглашенные к участию, должны быть своевременно и адекватно представлены. Стороны могут выбирать форму прямого участия, обмен письменными сообщениями или электронные средства информации. Способ передачи комментариев и сообщений должен обеспечивать достоверность информации. Для заявления в виде са</w:t>
      </w:r>
      <w:r>
        <w:rPr>
          <w:sz w:val="20"/>
        </w:rPr>
        <w:t>модекларации проводят консультации.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both"/>
        <w:rPr>
          <w:sz w:val="18"/>
        </w:rPr>
      </w:pPr>
      <w:r>
        <w:rPr>
          <w:sz w:val="18"/>
        </w:rPr>
        <w:t>Примечание — Для более детального рассмотрения см. [4], [5].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  <w:r>
        <w:rPr>
          <w:b/>
          <w:sz w:val="20"/>
        </w:rPr>
        <w:t>5.10 Принцип 9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5.10.1 Содержание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Информация по экологическим аспектам продукции или услуг, относящаяся к экологической этикетке или декларации, должна быть доступна потребителям и потенциальным потребителям.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5.10.2 Пояснения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Эффективность экологических этикеток и деклараций зависит от их способности помочь потребителям сделать осознанный выбор, информировать их об экологических аспектах решения о покупке, оказ</w:t>
      </w:r>
      <w:r>
        <w:rPr>
          <w:sz w:val="20"/>
        </w:rPr>
        <w:t>ать определенное влияние на потребителей или потенциальных потребителей при выборе ими продукции или услуги. Это, в свою очередь, связано со степенью приемлемости и пониманием потребителями и потенциальными потребителями имеющейся информации.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Поэтому стороны, использующие экологические этикетки и декларации, должны нести ответственность за обеспечение доступа потребителей и потенциальных потребителей к информации так, чтобы они могли понять смысл заявления, знака или термина. Это может быть обеспечено разли</w:t>
      </w:r>
      <w:r>
        <w:rPr>
          <w:sz w:val="20"/>
        </w:rPr>
        <w:t>чными методами, такими как рекламные проспекты, пояснения при продаже, бесплатные телефонные номера, и, среди прочего, соответствующими программами обучения.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Предоставляемая информация должна быть конкретной, достаточной для выяснения имеющейся базы и цели экологического заявления.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center"/>
        <w:rPr>
          <w:sz w:val="20"/>
        </w:rPr>
      </w:pPr>
      <w:r>
        <w:rPr>
          <w:b/>
          <w:sz w:val="20"/>
        </w:rPr>
        <w:t>ПРИЛОЖЕНИЕ А</w:t>
      </w:r>
    </w:p>
    <w:p w:rsidR="00000000" w:rsidRDefault="00C731D5">
      <w:pPr>
        <w:ind w:firstLine="284"/>
        <w:jc w:val="center"/>
        <w:rPr>
          <w:sz w:val="20"/>
        </w:rPr>
      </w:pPr>
      <w:r>
        <w:rPr>
          <w:sz w:val="20"/>
        </w:rPr>
        <w:t>(справочное)</w:t>
      </w:r>
    </w:p>
    <w:p w:rsidR="00000000" w:rsidRDefault="00C731D5">
      <w:pPr>
        <w:ind w:firstLine="284"/>
        <w:jc w:val="center"/>
        <w:rPr>
          <w:sz w:val="20"/>
        </w:rPr>
      </w:pPr>
    </w:p>
    <w:p w:rsidR="00000000" w:rsidRDefault="00C731D5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Библиография</w:t>
      </w:r>
    </w:p>
    <w:p w:rsidR="00000000" w:rsidRDefault="00C731D5">
      <w:pPr>
        <w:ind w:firstLine="284"/>
        <w:jc w:val="center"/>
        <w:rPr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 xml:space="preserve">[1] ИСО 14021 Экологические этикетки и декларации. Экологические заявления в виде самодекларации 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[2] ИСО 14024 Экологические этикетки и декларации. Экологическая маркировка по типу I. Р</w:t>
      </w:r>
      <w:r>
        <w:rPr>
          <w:sz w:val="20"/>
        </w:rPr>
        <w:t>уководящие принципы и процедуры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[3] ИСО 14025 Экологические этикетки и декларации. Экологическая маркировка по типу III. Руководящие принципы и процедуры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 xml:space="preserve">[4] ИСО/МЭК Руководство 2. Стандартизация и смежные виды деятельности. Общий словарь 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[5] ИСО/МЭК Руководство 59. Практические рекомендации по стандартизации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center"/>
        <w:rPr>
          <w:b/>
        </w:rPr>
      </w:pPr>
      <w:r>
        <w:rPr>
          <w:b/>
        </w:rPr>
        <w:t>Содержание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1 Область применения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2 Нормативные ссылки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3 Термины и определения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4 Цели экологических этикеток и деклараций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5 Основные принципы</w:t>
      </w: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Приложение А Библиография</w:t>
      </w: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</w:p>
    <w:p w:rsidR="00000000" w:rsidRDefault="00C731D5">
      <w:pPr>
        <w:ind w:firstLine="284"/>
        <w:jc w:val="both"/>
        <w:rPr>
          <w:sz w:val="20"/>
        </w:rPr>
      </w:pPr>
      <w:r>
        <w:rPr>
          <w:sz w:val="20"/>
        </w:rPr>
        <w:t>Ключевые слова: экологическое</w:t>
      </w:r>
      <w:r>
        <w:rPr>
          <w:sz w:val="20"/>
        </w:rPr>
        <w:t xml:space="preserve"> управление, экологическая маркировка, экологические этикетки, экологические декларации, экологические знаки, принципы</w:t>
      </w:r>
    </w:p>
    <w:p w:rsidR="00000000" w:rsidRDefault="00C731D5">
      <w:pPr>
        <w:ind w:firstLine="284"/>
        <w:jc w:val="both"/>
        <w:rPr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1D5"/>
    <w:rsid w:val="00C7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1890</Words>
  <Characters>10774</Characters>
  <Application>Microsoft Office Word</Application>
  <DocSecurity>0</DocSecurity>
  <Lines>89</Lines>
  <Paragraphs>25</Paragraphs>
  <ScaleCrop>false</ScaleCrop>
  <Company>Elcom Ltd</Company>
  <LinksUpToDate>false</LinksUpToDate>
  <CharactersWithSpaces>12639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ИСО 14020-99</dc:title>
  <dc:subject/>
  <dc:creator>CNTI</dc:creator>
  <cp:keywords/>
  <dc:description/>
  <cp:lastModifiedBy>Parhomeiai</cp:lastModifiedBy>
  <cp:revision>2</cp:revision>
  <dcterms:created xsi:type="dcterms:W3CDTF">2013-04-11T11:07:00Z</dcterms:created>
  <dcterms:modified xsi:type="dcterms:W3CDTF">2013-04-11T11:07:00Z</dcterms:modified>
</cp:coreProperties>
</file>