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7E4F">
      <w:pPr>
        <w:spacing w:before="0" w:after="0"/>
        <w:ind w:firstLine="284"/>
        <w:jc w:val="right"/>
        <w:rPr>
          <w:sz w:val="20"/>
          <w:lang w:val="en-US"/>
        </w:rPr>
      </w:pPr>
      <w:bookmarkStart w:id="0" w:name="_GoBack"/>
      <w:bookmarkEnd w:id="0"/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 ИСО 9001-96</w:t>
      </w:r>
    </w:p>
    <w:p w:rsidR="00000000" w:rsidRDefault="00027E4F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 xml:space="preserve">Группа Т59 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spacing w:before="0" w:after="0"/>
        <w:jc w:val="center"/>
        <w:rPr>
          <w:sz w:val="20"/>
        </w:rPr>
      </w:pPr>
      <w:r>
        <w:rPr>
          <w:sz w:val="20"/>
        </w:rPr>
        <w:t>ГОСУДАРСТВЕННЫЙ СТАНДАРТ РОССИЙСКОЙ ФЕДЕРАЦИИ</w:t>
      </w:r>
    </w:p>
    <w:p w:rsidR="00000000" w:rsidRDefault="00027E4F">
      <w:pPr>
        <w:spacing w:before="0" w:after="0"/>
        <w:jc w:val="center"/>
        <w:rPr>
          <w:sz w:val="20"/>
        </w:rPr>
      </w:pPr>
    </w:p>
    <w:p w:rsidR="00000000" w:rsidRDefault="00027E4F">
      <w:pPr>
        <w:spacing w:before="0" w:after="0"/>
        <w:jc w:val="center"/>
        <w:rPr>
          <w:b/>
          <w:sz w:val="20"/>
          <w:lang w:val="en-US"/>
        </w:rPr>
      </w:pPr>
      <w:r>
        <w:rPr>
          <w:b/>
          <w:sz w:val="20"/>
        </w:rPr>
        <w:t>СИСТЕМЫ КАЧЕСТВА</w:t>
      </w:r>
    </w:p>
    <w:p w:rsidR="00000000" w:rsidRDefault="00027E4F">
      <w:pPr>
        <w:spacing w:before="0" w:after="0"/>
        <w:jc w:val="center"/>
        <w:rPr>
          <w:b/>
          <w:sz w:val="20"/>
        </w:rPr>
      </w:pPr>
    </w:p>
    <w:p w:rsidR="00000000" w:rsidRDefault="00027E4F">
      <w:pPr>
        <w:spacing w:before="0" w:after="0"/>
        <w:jc w:val="center"/>
        <w:rPr>
          <w:b/>
          <w:sz w:val="20"/>
          <w:lang w:val="en-US"/>
        </w:rPr>
      </w:pPr>
      <w:r>
        <w:rPr>
          <w:b/>
          <w:sz w:val="20"/>
        </w:rPr>
        <w:t>Модель обеспечения качества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 xml:space="preserve">при проектировании, разработке, </w:t>
      </w:r>
    </w:p>
    <w:p w:rsidR="00000000" w:rsidRDefault="00027E4F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t>производстве,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</w:rPr>
        <w:t>монтаже и обслуживании</w:t>
      </w:r>
    </w:p>
    <w:p w:rsidR="00000000" w:rsidRDefault="00027E4F">
      <w:pPr>
        <w:spacing w:before="0" w:after="0"/>
        <w:jc w:val="center"/>
        <w:rPr>
          <w:sz w:val="20"/>
        </w:rPr>
      </w:pPr>
    </w:p>
    <w:p w:rsidR="00000000" w:rsidRDefault="00027E4F">
      <w:pPr>
        <w:spacing w:before="0" w:after="0"/>
        <w:jc w:val="center"/>
        <w:rPr>
          <w:sz w:val="20"/>
        </w:rPr>
      </w:pPr>
      <w:proofErr w:type="spellStart"/>
      <w:r>
        <w:rPr>
          <w:sz w:val="20"/>
        </w:rPr>
        <w:t>Quality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Model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assurance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design</w:t>
      </w:r>
      <w:proofErr w:type="spellEnd"/>
      <w:r>
        <w:rPr>
          <w:sz w:val="20"/>
        </w:rPr>
        <w:t>,</w:t>
      </w:r>
    </w:p>
    <w:p w:rsidR="00000000" w:rsidRDefault="00027E4F">
      <w:pPr>
        <w:spacing w:before="0" w:after="0"/>
        <w:jc w:val="center"/>
        <w:rPr>
          <w:sz w:val="20"/>
        </w:rPr>
      </w:pPr>
      <w:proofErr w:type="spellStart"/>
      <w:r>
        <w:rPr>
          <w:sz w:val="20"/>
        </w:rPr>
        <w:t>dev</w:t>
      </w:r>
      <w:r>
        <w:rPr>
          <w:sz w:val="20"/>
        </w:rPr>
        <w:t>elopment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production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installation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servicing</w:t>
      </w:r>
      <w:proofErr w:type="spellEnd"/>
    </w:p>
    <w:p w:rsidR="00000000" w:rsidRDefault="00027E4F">
      <w:pPr>
        <w:pStyle w:val="ab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ОКС</w:t>
      </w:r>
      <w:proofErr w:type="spellEnd"/>
      <w:r>
        <w:rPr>
          <w:sz w:val="20"/>
        </w:rPr>
        <w:t xml:space="preserve"> 03.120.10 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ОКС</w:t>
      </w:r>
      <w:proofErr w:type="spellEnd"/>
      <w:r>
        <w:rPr>
          <w:sz w:val="20"/>
        </w:rPr>
        <w:t xml:space="preserve"> ТУ 0025 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right"/>
        <w:rPr>
          <w:sz w:val="20"/>
        </w:rPr>
      </w:pPr>
      <w:r>
        <w:rPr>
          <w:sz w:val="20"/>
        </w:rPr>
        <w:t>Дата введения 1997-01-01</w:t>
      </w:r>
    </w:p>
    <w:p w:rsidR="00000000" w:rsidRDefault="00027E4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Предисловие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 РАЗРАБОТАН Всероссийским научно-исследовательским институтом сертификации (</w:t>
      </w:r>
      <w:proofErr w:type="spellStart"/>
      <w:r>
        <w:rPr>
          <w:sz w:val="20"/>
        </w:rPr>
        <w:t>ВНИИС</w:t>
      </w:r>
      <w:proofErr w:type="spellEnd"/>
      <w:r>
        <w:rPr>
          <w:sz w:val="20"/>
        </w:rPr>
        <w:t>)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ВНЕСЕН Управлением технической политики в области сертификации Госстандарта России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2 ПРИНЯТ И ВВЕДЕН В ДЕЙСТВИЕ Постановлением Госстандарта России от 17.07.96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 xml:space="preserve"> 460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 Настоящий стандарт представляет собой аутентичный текст международного стандарта ИСО 9001-94 "Системы качества. Модель обеспечения качес</w:t>
      </w:r>
      <w:r>
        <w:rPr>
          <w:sz w:val="20"/>
        </w:rPr>
        <w:t>тва при проектировании, разработке, производстве, монтаже и обслуживании"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 ВВЕДЕН ВПЕРВЫЕ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Введение*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_________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Раздел приводится в редакции, отличной от ИСО 9001-94.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государственный стандарт является одним из трех государственных стандартов, содержащих требования к системе качества, которые можно использовать для внешнего обеспечения качества. Модели обеспечения качества, установленные в стандартах, перечисленных ниже, представляют собой три четко различимые формы требований к системе качеств</w:t>
      </w:r>
      <w:r>
        <w:rPr>
          <w:sz w:val="20"/>
        </w:rPr>
        <w:t>а, пригодные для демонстрации поставщиком своих возможностей и оценки этих возможностей внешними сторонами: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а)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9001-96 Системы качества. Модель обеспечения качества при проектировании, разработке, производстве, монтаже и обслуживании;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б)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9002-96 Системы качества. Модель обеспечения качества при производстве, монтаже и обслуживании;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в)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9003-96 Системы качества. Модель обеспечения качества при окончательном контроле и испытаниях.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Следует подчеркнуть, что требования к систе</w:t>
      </w:r>
      <w:r>
        <w:rPr>
          <w:sz w:val="20"/>
        </w:rPr>
        <w:t xml:space="preserve">ме качества, установленные в настоящем стандарте,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9002-96 и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9003-96, являются дополнительными (не альтернативными) по отношению к техническим требованиям на продукцию. Стандарты устанавливают требования, определяющие элементы, необходимые для включения в системы качества. Целью этих стандартов не является навязывание единообразия системам качества. Стандарты являются общими и не зависят от конкретной отрасли промышленности или сектора </w:t>
      </w:r>
      <w:r>
        <w:rPr>
          <w:sz w:val="20"/>
        </w:rPr>
        <w:lastRenderedPageBreak/>
        <w:t>экономики. На разработку и внедрение системы качест</w:t>
      </w:r>
      <w:r>
        <w:rPr>
          <w:sz w:val="20"/>
        </w:rPr>
        <w:t>ва оказывают влияние специфика потребностей организации, ее конкретные задачи, поставляемая продукция и услуги, а также применяемые процессы и практический опыт.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использовании этих государственных стандартов в настоящем виде может возникнуть необходимость добавления или изъятия определенных требований к системе качества в зависимости от конкретных контрактных ситуаций. Международный стандарт ИСО 9000-1 содержит указания по такой адаптации, а также по выбору соответствующей модели обеспечения качества.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устанавливает требования к системе качества, необходимые для оценки возможности поставщика проектировать и поставлять продукцию, соответствующую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Установленные требования направлены в первую очередь на удовлетворение потребителя посредством предупреждения несоответствия продукции на всех стадиях от проектирования до обслуживания.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Настоящий стандарт применяется в следующих ситуациях: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необходимо спроектировать продукцию, требования к ко</w:t>
      </w:r>
      <w:r>
        <w:rPr>
          <w:sz w:val="20"/>
        </w:rPr>
        <w:t>торой установлены преимущественно в виде эксплуатационных характеристик или их нужно установить;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уверенность в соответствии продукции установленным требованиям можно получить посредством адекватной демонстрации возможностей поставщика в области проектирования, разработки, производства, монтажа и обслуживания.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Справочные ссылки приведены в приложении 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 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  <w:r>
        <w:rPr>
          <w:sz w:val="20"/>
        </w:rPr>
        <w:t>2 Нормативная ссылка*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Раздел приведен в редакции, отличной от ИСО 9001-94.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Указанный ниже стандарт содержит положен</w:t>
      </w:r>
      <w:r>
        <w:rPr>
          <w:sz w:val="20"/>
        </w:rPr>
        <w:t>ия, которые посредством ссылок в этом тексте составляют положения настоящего стандарта.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Стороны, которым предстоит заключить соглашения, базирующиеся на настоящем стандарте, должны изучить возможности применения последнего издания указанного ниже стандарта.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ИСО 8402-94 Управление качеством и обеспечение качества. Словарь.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 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  <w:r>
        <w:rPr>
          <w:sz w:val="20"/>
        </w:rPr>
        <w:t>3 Определения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используют определения, данные в ИСО 8402, а также определения, приведенные ниже.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3.1 Продукция - результат деятельности или процессов.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</w:t>
      </w:r>
      <w:r>
        <w:rPr>
          <w:sz w:val="20"/>
        </w:rPr>
        <w:t>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 Продукция может включать услуги, оборудование, перерабатываемые материалы, программное обеспечение или комбинацию из них.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lastRenderedPageBreak/>
        <w:t>2 Продукция может быть материальной (например, узлы или перерабатываемые материалы) или нематериальной (например, информация или понятия) или комбинацией из них.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 В настоящем стандарте термин "продукция" применяется только к предлагаемой преднамеренной продукции и не применяется к непреднамеренной "побочной продукции", влияющей на окружающую среду. В этом состоит отличие от опре</w:t>
      </w:r>
      <w:r>
        <w:rPr>
          <w:sz w:val="20"/>
        </w:rPr>
        <w:t>деления, данного в ИСО 8402-94.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3.2 Заявка на подряд - предложение, сделанное поставщиком в ответ на приглашение выполнить подряд на поставку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3.3 Контракт - согласованные между поставщиком и потребителем требования, переданные с помощью любых средств.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  <w:r>
        <w:rPr>
          <w:sz w:val="20"/>
        </w:rPr>
        <w:t>4 Требования к системе качества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 Ответственность руководства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4.1.1 Политика в области качества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Руководство поставщика, несущее административную ответственность, должно определить и документально оформить политику, задачи и свое обязательст</w:t>
      </w:r>
      <w:r>
        <w:rPr>
          <w:sz w:val="20"/>
        </w:rPr>
        <w:t>во в области качества. Политика в области качества должна быть согласована с организационными целями поставщика, ожиданиями и потребностями потребителей. Поставщик должен обеспечить понимание этой политики, ее проведение и поддержку на всех уровнях организации.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4.1.2 </w:t>
      </w:r>
      <w:proofErr w:type="spellStart"/>
      <w:r>
        <w:rPr>
          <w:sz w:val="20"/>
        </w:rPr>
        <w:t>Оргaнизация</w:t>
      </w:r>
      <w:proofErr w:type="spellEnd"/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4.1.2.1 Ответственность и полномочия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Ответственность, полномочия и взаимодействие персонала, который руководит, выполняет и проверяет работу, влияющую на качество, должны быть определены и документально оформлены. Особенно это ка</w:t>
      </w:r>
      <w:r>
        <w:rPr>
          <w:sz w:val="20"/>
        </w:rPr>
        <w:t>сается персонала, которому необходимы организационная свобода и полномочия для: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инициирования проведения мероприятий, направленных на предупреждение появления несоответствий продукции, процесса и системы качества;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выявления и регистрации любых проблем, касающихся продукции, процесса и системы качества;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инициирования, выработки рекомендации или обеспечения решений по соответствующим каналам;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проверки выполнения решений;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>) управления переработкой несоответствующей продукции, ее поставкой или</w:t>
      </w:r>
      <w:r>
        <w:rPr>
          <w:sz w:val="20"/>
        </w:rPr>
        <w:t xml:space="preserve"> монтажом до тех пор, пока недостатки или неудовлетворительные условия не будут устранены.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4.1.2.2 Ресурсы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определить требования к ресурсам и обеспечить соответствующими ресурсами, в том числе назначить подготовленный персонал (4.18) для руководства, выполнения работы и проверок, включая внутренние проверки качества.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4.1.2.3 Представитель руководства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Руководство поставщика, несущее административную ответственность, должно назначить члена своей администрации, который независимо от других</w:t>
      </w:r>
      <w:r>
        <w:rPr>
          <w:sz w:val="20"/>
        </w:rPr>
        <w:t xml:space="preserve"> возложенных на него обязанностей должен иметь определенные полномочия для: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обеспечения разработки, внедрения и поддержки в рабочем состоянии системы качества в соответствии с настоящим стандартом;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представления отчетов руководству поставщика о функционировании системы качества с целью анализа и использования как основы для улучшения системы качества.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В обязанность представителя руководства может также входить поддержание связи с внешними сторонами по вопросам системы качества поставщи</w:t>
      </w:r>
      <w:r>
        <w:rPr>
          <w:sz w:val="20"/>
        </w:rPr>
        <w:t>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4.1.3 Анализ со стороны руководства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Руководство поставщика, несущее административную ответственность, должно анализировать систему качества через определенные промежутки времени, достаточные для того, чтобы обеспечить ее постоянную пригодность и эффективность при удовлетворении требований настоящего стандарта, а также реализацию установленных поставщиком политики и задач в области качества (4.1.1). Следует вести протоколы (регистрацию данных)* таких анализов (4.16).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В настоящем стан</w:t>
      </w:r>
      <w:r>
        <w:rPr>
          <w:sz w:val="20"/>
        </w:rPr>
        <w:t>дарте используют более широкое понятие "регистрация данных" по сравнению с понятием "протокол", приведенным в русской версии ИСО 8402-94.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 Система качества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разработать, документально оформить и поддерживать в рабочем состоянии систему качества как средство, обеспечивающее соответствие продукции установленным требованиям. Поставщик должен разработать руководство по качеству, охватывающее требования настоящего стандарта. Руководство по качеству должно включать мето</w:t>
      </w:r>
      <w:r>
        <w:rPr>
          <w:sz w:val="20"/>
        </w:rPr>
        <w:t>дики (далее по тексту - процедуры)* системы качества или содержать ссылки на них и кратко описывать структуру документации, используемой в системе качества.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В настоящее время в рамках ИСО/</w:t>
      </w:r>
      <w:proofErr w:type="spellStart"/>
      <w:r>
        <w:rPr>
          <w:sz w:val="20"/>
        </w:rPr>
        <w:t>ТК</w:t>
      </w:r>
      <w:proofErr w:type="spellEnd"/>
      <w:r>
        <w:rPr>
          <w:sz w:val="20"/>
        </w:rPr>
        <w:t xml:space="preserve"> 176 используется широкое толкование термина "</w:t>
      </w:r>
      <w:proofErr w:type="spellStart"/>
      <w:r>
        <w:rPr>
          <w:sz w:val="20"/>
        </w:rPr>
        <w:t>procedure</w:t>
      </w:r>
      <w:proofErr w:type="spellEnd"/>
      <w:r>
        <w:rPr>
          <w:sz w:val="20"/>
        </w:rPr>
        <w:t>", соответствующее в большей степени термину "процедура" или "документированная процедура", нежели термину "методика" или "документальная методика", приведенному в русской версии ИСО 8402-94.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В ИСО 10013 приведены методические указани</w:t>
      </w:r>
      <w:r>
        <w:rPr>
          <w:sz w:val="20"/>
        </w:rPr>
        <w:t>я, касающиеся разработки руководств по качеству.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4.2.2 Процедуры системы качества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разработать документальные методики (далее по тексту - документированные процедуры)*, отвечающие требованиям настоящего стандарта и установленной политике поставщика в области качества;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В настоящее время в рамках ИСО/</w:t>
      </w:r>
      <w:proofErr w:type="spellStart"/>
      <w:r>
        <w:rPr>
          <w:sz w:val="20"/>
        </w:rPr>
        <w:t>ТК</w:t>
      </w:r>
      <w:proofErr w:type="spellEnd"/>
      <w:r>
        <w:rPr>
          <w:sz w:val="20"/>
        </w:rPr>
        <w:t xml:space="preserve"> 176 используется широкое толкование термина "</w:t>
      </w:r>
      <w:proofErr w:type="spellStart"/>
      <w:r>
        <w:rPr>
          <w:sz w:val="20"/>
        </w:rPr>
        <w:t>procedure</w:t>
      </w:r>
      <w:proofErr w:type="spellEnd"/>
      <w:r>
        <w:rPr>
          <w:sz w:val="20"/>
        </w:rPr>
        <w:t>", соответствующее в большей степени термину "процедура" или "документированная процедура", нежели термину "мето</w:t>
      </w:r>
      <w:r>
        <w:rPr>
          <w:sz w:val="20"/>
        </w:rPr>
        <w:t>дика" или "документальная методика", приведенному в русской версии ИСО 8402-94.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эффективно применять систему качества и ее документированные процедуры.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Применительно к настоящему стандарту масштаб и степень подробности процедур, которые составляют часть системы качества, должны зависеть от сложности работы, используемых методов, необходимых навыков и подготовки персонала.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Документированные процедуры могут содержать ссылки на рабочие инструкции, которые определяют, как выполнять работу.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>.2.3 Планирование качества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определить и документально оформить действия по реализации требований к качеству. Планирование качества должно соответствовать всем другим требованиям системы качества поставщика и должно быть документировано в форме, отвечающей методам работы поставщика.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 целью выполнения установленных требований к продукции, проектам или контрактам поставщик должен уделить внимание следующим видам деятельности, если это уместно: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подготовке программ качества;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идентифик</w:t>
      </w:r>
      <w:r>
        <w:rPr>
          <w:sz w:val="20"/>
        </w:rPr>
        <w:t>ации и приобретению необходимых средств управления, процессов, оборудования (включая контрольно-измерительную и испытательную аппаратуру), технологической оснастки, ресурсов, а также навыков, которые могут понадобиться для достижения требуемого качества;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обеспечению совместимости процессов проектирования, производства, монтажа, обслуживания, контроля методик испытаний, а также применяемой документации;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актуализации, если это необходимо, методов управления качеством, средств контроля и испытаний, вкл</w:t>
      </w:r>
      <w:r>
        <w:rPr>
          <w:sz w:val="20"/>
        </w:rPr>
        <w:t>ючая разработку нового контрольно-измерительного оборудования;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>) идентификации любого требования в области измерений, включая возможности, превышающие современный уровень, для своевременного их развития;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е</w:t>
      </w:r>
      <w:proofErr w:type="spellEnd"/>
      <w:r>
        <w:rPr>
          <w:sz w:val="20"/>
        </w:rPr>
        <w:t>) идентификации соответствующей проверки на любой стадии выпуска продукции;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ж) разъяснению норм приемки, касающихся всех характеристик и требований, включая те, что содержат элемент субъективности;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з</w:t>
      </w:r>
      <w:proofErr w:type="spellEnd"/>
      <w:r>
        <w:rPr>
          <w:sz w:val="20"/>
        </w:rPr>
        <w:t>) идентификации и подготовке данных о качестве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Указанные программы качества (4.2.</w:t>
      </w:r>
      <w:r>
        <w:rPr>
          <w:sz w:val="20"/>
        </w:rPr>
        <w:t>3а) могут быть представлены в форме ссылок на соответствующие документированные процедуры, составляющие неотъемлемую часть системы качества поставщика.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 Анализ контракта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процедуры, обеспечивающие проведение анализа контракта и координацию этой работы.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4.3.2 Анализ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До подачи заявки на подряд или до заключения контракта или заказа (формулирования требований) поставщик должен проанализировать заявку </w:t>
      </w:r>
      <w:r>
        <w:rPr>
          <w:sz w:val="20"/>
        </w:rPr>
        <w:t>на подряд, контракт или заказ для того, чтобы гарантировать: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адекватное определение и документирование требований. Если заказ был получен в устной форме, поставщик должен обеспечить согласование этих требований до их принятия;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устранение любых различий между требованиями контракта или заказа и требованиями заявки на подряд;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возможность выполнить требования контракта или заказа.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4.3.3 Поправка к контракту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проверить оформление поправки к контракту и доведение ее до заинтересован</w:t>
      </w:r>
      <w:r>
        <w:rPr>
          <w:sz w:val="20"/>
        </w:rPr>
        <w:t>ных служб в рамках организации поставщика.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4.3.4 Регистрация данных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Следует вести регистрацию данных анализа контрактов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По этим вопросам контракта следует установить каналы связи и взаимодействия с организацией потребителя.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 Управление проектированием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 управления проектированием продукции и его проверки с целью обеспечения выполнения установленных требований.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4.4.2 П</w:t>
      </w:r>
      <w:r>
        <w:rPr>
          <w:sz w:val="20"/>
        </w:rPr>
        <w:t>ланирование проектирования и разработки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подготовить планы по проектированию и разработке. В этих планах должны быть приведены виды деятельности или ссылки на них и определена ответственность за их осуществление. Проектирование и разработку проводит квалифицированный персонал, имеющий в своем распоряжении соответствующие средства. По мере развития проекта планы должны актуализироваться.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4.4.3 Организационно-техническое взаимодействие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Между различными группами, которые вносят свой вклад в </w:t>
      </w:r>
      <w:r>
        <w:rPr>
          <w:sz w:val="20"/>
        </w:rPr>
        <w:t>процесс проектирования, должно быть установлено организационно-техническое взаимодействие. Необходимую информацию следует документировать, передавать и регулярно анализировать.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4.4.4 Входные проектные данные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Входные проектные требования к продукции, включая применяемые установленные законодательные и регламентирующие требования, должны быть определены, документально оформлены, а их выбор проанализирован поставщиком на адекватность. Неполные, двусмысленные или противоречивые требования должны быть предмето</w:t>
      </w:r>
      <w:r>
        <w:rPr>
          <w:sz w:val="20"/>
        </w:rPr>
        <w:t>м урегулирования с лицами, ответственными за их предъявление.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Во входных проектных данных должны учитываться результаты любых видов деятельности по анализу контракта.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4.4.5 Выходные проектные данные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Выходные проектные данные должны быть документально оформлены и выражены так, чтобы их можно было проверить и подтвердить относительно входных проектных требований.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Выходные проектные данные должны: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отвечать входным проектным требованиям;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содержать критерии приемки или ссылки на них;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идентифициро</w:t>
      </w:r>
      <w:r>
        <w:rPr>
          <w:sz w:val="20"/>
        </w:rPr>
        <w:t>вать те характеристики проекта, которые являются критическими для безопасного и надлежащего функционирования продукции (например, требования, относящиеся к эксплуатации, хранению, погрузочно-разгрузочным работам, техническому обслуживанию и утилизации).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Документы, содержащие выходные проектные данные, должны быть проанализированы до их выпуска.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4.4.6 Анализ проекта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 соответствующих стадиях проектирования следует планировать и проводить официальный, документально оформленный анализ результатов проектиро</w:t>
      </w:r>
      <w:r>
        <w:rPr>
          <w:sz w:val="20"/>
        </w:rPr>
        <w:t>вания. В состав участников каждого анализа проекта должны быть включены представители всех служб, заинтересованных в анализируемой стадии проектирования, а также другие специалисты по мере необходимости.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Данные этих анализов должны быть зарегистрированы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4.4.7 Проверка проекта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На соответствующих стадиях проектирования следует проводить проверку соответствия выходных данных входным требованиям. Меры по проверке проекта необходимо регистрировать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В дополнение к проведению анализ</w:t>
      </w:r>
      <w:r>
        <w:rPr>
          <w:sz w:val="20"/>
        </w:rPr>
        <w:t>а проекта (4.4.6) проверка проекта может включать следующие виды деятельности: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выполнение альтернативных расчетов;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сопоставление нового проекта с аналогичным проектом, уже проверенным на практике, если такой имеется в наличии;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проведение испытаний и подтверждение их результатов;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анализ документов по проверяемым стадиям проектирования до их выпуска.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4.4.8 Утверждение проекта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Утверждение проекта должно проводиться с целью обеспечения соответствия продукции определенным запросам и (или) требованиям польз</w:t>
      </w:r>
      <w:r>
        <w:rPr>
          <w:sz w:val="20"/>
        </w:rPr>
        <w:t>ователя.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Примечания: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 Проект утверждают после успешной проверки проекта (4.4.7).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2 Утверждение обычно проводится с учетом определенных условий эксплуатации.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3 Утверждение обычно проводят по конечной продукции, но оно может быть необходимо на более ранних стадиях до завершения разработки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 Если продукция имеет несколько преднамеренных назначений, утверждения могут осуществляться многократно.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4.4.9 Изменения проекта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Все изменения и модификации проекта должны быть идентифицированы, документа</w:t>
      </w:r>
      <w:r>
        <w:rPr>
          <w:sz w:val="20"/>
        </w:rPr>
        <w:t>льно оформлены, проанализированы и утверждены уполномоченным персоналом до их реализации.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4.5 Управление документацией и данными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4.5.1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 управления всеми документами и данными, относящимися к требованиям настоящего стандарта, включая, насколько это применимо, документы внешнего происхождения (стандарты и чертежи потребителя).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Документы и данные могут быть на любом бумажном или электронн</w:t>
      </w:r>
      <w:r>
        <w:rPr>
          <w:sz w:val="20"/>
        </w:rPr>
        <w:t>ом носителе.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4.5.2 Утверждение и выпуск документации и данных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Уполномоченный персонал должен анализировать и утверждать документы и данные на предмет их адекватности до выпуска. Следует разработать и поддерживать в готовности основной перечень или эквивалентную процедуру управления документацией, показывающие статус пересмотра документов, с тем чтобы предотвратить использование недействующих и (или) устаревших документов.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Такое управление должно обеспечивать: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доступность соответствующих документов на</w:t>
      </w:r>
      <w:r>
        <w:rPr>
          <w:sz w:val="20"/>
        </w:rPr>
        <w:t xml:space="preserve"> всех участках, где проводятся работы, от которых зависит эффективное функционирование системы качества;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изъятие из всех пунктов рассылки или применения недействующих и (или) устаревших документов или другие меры по предотвращению их непреднамеренного использования;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идентификацию любых устаревших документов, оставленных для юридических целей и (или) для сохранения информации.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4.5.3 Изменения документов и данных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Изменения документов и данных должны быть проанализированы и утверждены теми же службам</w:t>
      </w:r>
      <w:r>
        <w:rPr>
          <w:sz w:val="20"/>
        </w:rPr>
        <w:t>и и (или) организациями, которые проводили первоначальный анализ и утверждали эту документацию, если особо не оговорено иначе. Эти назначенные службы и (или) организации должны иметь доступ к соответствующей исходной информации, на которой они базируют свои анализ и утверждение.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Там, где это целесообразно, характер изменения должен идентифицироваться в документе или соответствующих приложениях.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 Закупки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</w:t>
      </w:r>
      <w:r>
        <w:rPr>
          <w:sz w:val="20"/>
        </w:rPr>
        <w:t>анные процедуры, гарантирующие соответствие закупленной продукции (3.1)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4.6.2 Оценка субподрядчиков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оценивать и выбирать субподрядчиков на основе их способности выполнять требования контракта на субподряд, включая требования к системе качества и конкретные требования к обеспечению качества;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определять вид и степень управления, осуществляемого им в отношении субподрядчиков. Это должно зависеть от типа продукции, влияния продукции субподрядчиков на качест</w:t>
      </w:r>
      <w:r>
        <w:rPr>
          <w:sz w:val="20"/>
        </w:rPr>
        <w:t>во конечной продукции и, если это уместно, отчетов по проверке качества и (или) протоколов качества, ранее подтверждавших возможности и результаты деятельности субподрядчиков;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составить и поддерживать в рабочем состоянии данные о качестве продукции приемлемых субподрядчиков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4.6.3 Документация на закупку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Документы на закупку должны содержать данные, точно описывающие заказанную продукцию, включая, когда это применимо: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тип, класс, сорт или другую точную идентификацию;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наименование или др</w:t>
      </w:r>
      <w:r>
        <w:rPr>
          <w:sz w:val="20"/>
        </w:rPr>
        <w:t>угой точный опознавательный признак, применяемые документы технических требований, чертежи, требования к технологическому процессу, инструкции по контролю и другие соответствующие технические данные, включая требования к утверждению или квалификации продукции, процедурам, технологическому оборудованию и персоналу;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наименование, номер и дату публикации применяемого стандарта на систему качества.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анализировать и утверждать документы на закупку с точки зрения их соответствия установленным</w:t>
      </w:r>
      <w:r>
        <w:rPr>
          <w:sz w:val="20"/>
        </w:rPr>
        <w:t xml:space="preserve"> требованиям до выпуска документации.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4.6.4 Проверка закупленной продукции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4.6.4.1 Проверка, проводимая поставщиком на предприятии субподрядчика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поставщик предполагает проверить закупленную продукцию на предприятии субподрядчика, он должен оговорить в документах на закупку меры по проверке и метод выпуска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4.6.4.2 Проверка потребителем продукции, поставляемой по субподряду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это оговорено в контракте, потребителю продукции поставщика или его представителю должно быть предоставлено пра</w:t>
      </w:r>
      <w:r>
        <w:rPr>
          <w:sz w:val="20"/>
        </w:rPr>
        <w:t>во проводить на предприятии субподрядчика и предприятии поставщика проверку поставляемой по субподряду продукции на соответствие установленным требованиям. Такая проверка не должна использоваться поставщиком как доказательство эффективного управления качеством со стороны субподрядчика.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Проверка потребителем не освобождает поставщика от ответственности за обеспечение приемлемой продукцией и не исключает возможности последующего отказа от нее потребителя.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4.7 Управление продукцией, поставляемой потребителем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 управления проверкой, хранением и техническим обслуживанием продукции, поставляемой потребителем и предназначенной для включения в запасы или для соответствующей деятельности. Все случаи потери продукции, нанесения ей повреждения или других разновидностей непригодности к использованию должны быть зарегистрированы и сообщены потребителю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Проверка поставщиком не освобождает потребителя от ответственности за о</w:t>
      </w:r>
      <w:r>
        <w:rPr>
          <w:sz w:val="20"/>
        </w:rPr>
        <w:t>беспечение приемлемой продукцией.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4.8 Идентификация и </w:t>
      </w:r>
      <w:proofErr w:type="spellStart"/>
      <w:r>
        <w:rPr>
          <w:sz w:val="20"/>
        </w:rPr>
        <w:t>прослеживаемость</w:t>
      </w:r>
      <w:proofErr w:type="spellEnd"/>
      <w:r>
        <w:rPr>
          <w:sz w:val="20"/>
        </w:rPr>
        <w:t xml:space="preserve"> продукции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 случае необходимости поставщик должен разработать и поддерживать в рабочем состоянии документированные процедуры идентификации продукции всеми пригодными для этого средствами, начиная с получения и на всех этапах производства, поставки и монтажа.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Если </w:t>
      </w:r>
      <w:proofErr w:type="spellStart"/>
      <w:r>
        <w:rPr>
          <w:sz w:val="20"/>
        </w:rPr>
        <w:t>прослеживаемость</w:t>
      </w:r>
      <w:proofErr w:type="spellEnd"/>
      <w:r>
        <w:rPr>
          <w:sz w:val="20"/>
        </w:rPr>
        <w:t xml:space="preserve"> продукции является установленным требованием, поставщик должен разработать и поддерживать в рабочем состоянии документированные процедуры особой идентификаци</w:t>
      </w:r>
      <w:r>
        <w:rPr>
          <w:sz w:val="20"/>
        </w:rPr>
        <w:t>и отдельных единиц или партий продукции. Такая идентификация должна быть зарегистрирована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4.9 Управление процессами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определить и спланировать процессы производства, монтажа и обслуживания, непосредственно влияющие на качество продукции, а также обеспечить выполнение их в управляемых условиях. Управляемые условия должны включать: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документированные процедуры, определяющие способы производства, монтажа и обслуживания, если их отсутствие отрицательно сказывается на качестве;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и</w:t>
      </w:r>
      <w:r>
        <w:rPr>
          <w:sz w:val="20"/>
        </w:rPr>
        <w:t>спользование подходящего производственного, монтажного и сервисного оборудования, а также подходящей производственной среды;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соответствие ссылочным стандартам и (или) сводам норм, программам качества и (или) документированным процедурам;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контроль и управление соответствующими параметрами процессов и характеристиками продукции;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>) утверждение процессов и оборудования, если это необходимо;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е</w:t>
      </w:r>
      <w:proofErr w:type="spellEnd"/>
      <w:r>
        <w:rPr>
          <w:sz w:val="20"/>
        </w:rPr>
        <w:t xml:space="preserve">) критерии качества исполнения работы, которые должны быть выражены в ясной и удобной форме (например, в виде </w:t>
      </w:r>
      <w:r>
        <w:rPr>
          <w:sz w:val="20"/>
        </w:rPr>
        <w:t>письменных норм, представительных образцов или иллюстраций);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ж) соответствующее техническое обслуживание и ремонт оборудования для обеспечения возможностей непрерывного процесса.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результаты процессов нельзя в полной мере проверить последующим контролем и испытанием продукции и недостатки процесса могут выявиться только в ходе использования продукции, процессы должны выполняться квалифицированными операторами и (или) параметры процессов должны постоянно контролироваться и управляться с целью обеспечен</w:t>
      </w:r>
      <w:r>
        <w:rPr>
          <w:sz w:val="20"/>
        </w:rPr>
        <w:t>ия выполнения установленных требований.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Должны быть установлены требования к квалификации операций процесса, включая соответствующие оборудование и персонал (4.18).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Процессы, которые требуют предварительной квалификации в целях оценки их возможностей, относят к специальным процессам.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Данные по квалифицированным процессам, оборудованию и персоналу следует поддерживать в рабочем состоянии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 Контроль и испытания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Поставщик должен разработать и поддерживать в </w:t>
      </w:r>
      <w:r>
        <w:rPr>
          <w:sz w:val="20"/>
        </w:rPr>
        <w:t>рабочем состоянии документированные процедуры контроля и испытаний для проверки выполнения установленных требований к продукции. Необходимые виды контроля, испытаний и регистрации должны быть подробно изложены в программе качества или документированных процедурах.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4.10.2 Входной контроль и испытания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4.10.2.1 Поставщик должен обеспечить, чтобы входящая продукция не использовалась и не перерабатывалась (за исключением случаев, описанных в 4.10.2.3) до того, как она подвергнется контролю или какой-либо прове</w:t>
      </w:r>
      <w:r>
        <w:rPr>
          <w:sz w:val="20"/>
        </w:rPr>
        <w:t>рке на соответствие установленным требованиям. Эту проверку следует проводить в соответствии с программой качества и (или) документированными процедурами.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4.10.2.2 При определении объема и характера входного контроля следует учитывать объем работ по управлению, проводимых на предприятии субподрядчика, и запротоколированное подтверждение соответствия качества его поставок.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4.10.2.3 Если входящая продукция по неотложным причинам передается в производство до проверки, она должна быть четко </w:t>
      </w:r>
      <w:proofErr w:type="spellStart"/>
      <w:r>
        <w:rPr>
          <w:sz w:val="20"/>
        </w:rPr>
        <w:t>проидентифицирова</w:t>
      </w:r>
      <w:r>
        <w:rPr>
          <w:sz w:val="20"/>
        </w:rPr>
        <w:t>на</w:t>
      </w:r>
      <w:proofErr w:type="spellEnd"/>
      <w:r>
        <w:rPr>
          <w:sz w:val="20"/>
        </w:rPr>
        <w:t xml:space="preserve"> и зарегистрирована (4.16), чтобы ее можно было немедленно возвратить и заменить в случае несоответствия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4.10.3 Контроль и испытания в процессе производства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контролировать и испытывать продукцию в соответствии с программой качества и (или) документированными процедурами;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хранить продукцию до полного завершения требуемых процедур контроля и испытаний или получения необходимых отчетов и их проверки, за исключением случаев, когда продукция выпускается со</w:t>
      </w:r>
      <w:r>
        <w:rPr>
          <w:sz w:val="20"/>
        </w:rPr>
        <w:t>гласно процедурам ее возврата (4.10.2.3). Возврат продукции в соответствии с этими процедурами не исключает операций, упомянутых в 4.10.3а.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4.10.4 Окончательный контроль и испытания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проводить все виды окончательного контроля и испытаний в соответствии с программой качества и (или) документированными процедурами с целью получения доказательства соответствия готовой продукции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Программа качества и (или) документированные процедуры окончательного контроля и испытан</w:t>
      </w:r>
      <w:r>
        <w:rPr>
          <w:sz w:val="20"/>
        </w:rPr>
        <w:t>ий должны требовать, чтобы все предусмотренные виды контроля и испытаний, включая те, которые проводились или при приемке продукции, или в процессе производства, были выполнены, а результаты удовлетворяли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Продукция не должна быть отправлена до тех пор, пока все виды деятельности, предусмотренные программой качества и (или) документированными процедурами, не будут выполнены с удовлетворительными результатами, а соответствующие данные и документация не будут иметься в наличии и офи</w:t>
      </w:r>
      <w:r>
        <w:rPr>
          <w:sz w:val="20"/>
        </w:rPr>
        <w:t>циально приняты.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4.10.5 Регистрация данных контроля и испытаний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составлять и поддерживать в рабочем состоянии данные, подтверждающие, что продукция подверглась контролю и (или) испытаниям. Эти данные должны четко свидетельствовать о том, выдержала ли продукция контроль и (или) испытания в соответствии с определенными критериями приемки. Если продукция не выдержала контроль и (или) испытания, следует применять процедуры управления несоответствующей продукцией (4.13).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регистрации следу</w:t>
      </w:r>
      <w:r>
        <w:rPr>
          <w:sz w:val="20"/>
        </w:rPr>
        <w:t>ет указывать полномочный контролирующий орган, ответственный за выпуск продукции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4.11 Управление контрольным, измерительным и испытательным оборудованием*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Требования раздела 4.11 применяются наряду с метрологическими правилами и нормами, имеющими обязательную силу на территории Российской Федерации, которые содержатся в нормативных документах по обеспечению единства измерений, утверждаемых Госстандартом России в соответствии с Законом Российской Федерации "Об обеспечении единства</w:t>
      </w:r>
      <w:r>
        <w:rPr>
          <w:sz w:val="20"/>
        </w:rPr>
        <w:t xml:space="preserve"> измерений".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4.11.1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Поставщик должен разработать и поддерживать в рабочем состоянии документированные процедуры управления, </w:t>
      </w:r>
      <w:proofErr w:type="spellStart"/>
      <w:r>
        <w:rPr>
          <w:sz w:val="20"/>
        </w:rPr>
        <w:t>калибрования</w:t>
      </w:r>
      <w:proofErr w:type="spellEnd"/>
      <w:r>
        <w:rPr>
          <w:sz w:val="20"/>
        </w:rPr>
        <w:t xml:space="preserve"> и технического обслуживания контрольного, измерительного и испытательного оборудования (включая программное обеспечение испытаний), используемого с целью подтверждения соответствия продукции установленным требованиям. Контрольное, измерительное и испытательное оборудование следует использовать таким образом, чтобы была уверенность в том, что погрешность и</w:t>
      </w:r>
      <w:r>
        <w:rPr>
          <w:sz w:val="20"/>
        </w:rPr>
        <w:t>змерения известна и совместима с возможностью проведения требуемых измерений.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Если программное обеспечение или сравнительные эталоны, такие, как аппаратное обеспечение испытания, используют как пригодную форму контроля, следует убедиться в их способности проверять принимаемую продукцию до их выпуска для использования в производстве, монтаже или обслуживании. Через определенные промежутки времени их следует подвергать очередной проверке. Поставщик должен установить объем и частоту проведения таких проверок </w:t>
      </w:r>
      <w:r>
        <w:rPr>
          <w:sz w:val="20"/>
        </w:rPr>
        <w:t>и вести регистрацию данных как доказательство управления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наличие технических данных о контрольном, измерительном и испытательном оборудовании является установленным требованием, то такие данные должны предоставляться по требованию потребителя или его представителя для подтверждения того, что это контрольное, измерительное и испытательное оборудование является функционально адекватным.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Применительно к настоящему стандарту термин "измерительное оборудование" включает в себя измерит</w:t>
      </w:r>
      <w:r>
        <w:rPr>
          <w:sz w:val="20"/>
        </w:rPr>
        <w:t>ельные приборы.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4.11.2 Процедуры управления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определить, какие измерения следует проводить и с какой точностью, выбрать соответствующее контрольное, измерительное и испытательное оборудование, способное обеспечить необходимую точность и сходимость измерений;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идентифицировать все контрольное, измерительное и испытательное оборудование, которое может влиять на качество продукции, поверять и регулировать его через определенные промежутки времени или до его применения в сравнении с се</w:t>
      </w:r>
      <w:r>
        <w:rPr>
          <w:sz w:val="20"/>
        </w:rPr>
        <w:t xml:space="preserve">ртифицированным оборудованием, поверенным в соответствии с </w:t>
      </w:r>
      <w:proofErr w:type="spellStart"/>
      <w:r>
        <w:rPr>
          <w:sz w:val="20"/>
        </w:rPr>
        <w:t>международно</w:t>
      </w:r>
      <w:proofErr w:type="spellEnd"/>
      <w:r>
        <w:rPr>
          <w:sz w:val="20"/>
        </w:rPr>
        <w:t xml:space="preserve"> или национально признанными стандартами. В случае отсутствия таких стандартов база, использованная для поверки, должна быть документирована;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определять процесс, применяемый для поверки контрольного, измерительного и испытательного оборудования, включая детализацию типов оборудования, особую идентификацию, место расположения, периодичность поверок, метод поверки, критерии приемки и разработку мер, предпринимаемых в случае получения н</w:t>
      </w:r>
      <w:r>
        <w:rPr>
          <w:sz w:val="20"/>
        </w:rPr>
        <w:t>еудовлетворительных результатов;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идентифицировать контрольное, измерительное и испытательное оборудование с помощью соответствующих обозначений или утвержденной записи об идентификации, чтобы показать статус поверки;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>) вести регистрацию данных о поверке контрольного, измерительного и испытательного оборудования (4.16);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е</w:t>
      </w:r>
      <w:proofErr w:type="spellEnd"/>
      <w:r>
        <w:rPr>
          <w:sz w:val="20"/>
        </w:rPr>
        <w:t>) оценить предыдущие результаты контроля и испытаний и документировать их действенность, если обнаружено, что поверка контрольного, измерительного и испытательного оборудования утрати</w:t>
      </w:r>
      <w:r>
        <w:rPr>
          <w:sz w:val="20"/>
        </w:rPr>
        <w:t>ла силу;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ж) обеспечить пригодность условий окружающей среды для проведения поверок, контроля, измерений и испытаний;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proofErr w:type="spellStart"/>
      <w:r>
        <w:rPr>
          <w:sz w:val="20"/>
        </w:rPr>
        <w:t>з</w:t>
      </w:r>
      <w:proofErr w:type="spellEnd"/>
      <w:r>
        <w:rPr>
          <w:sz w:val="20"/>
        </w:rPr>
        <w:t>) обеспечить проведение погрузочно-разгрузочных работ, консервации и хранения таким образом, чтобы точность и пригодность контрольного, измерительного и испытательного оборудования были сохранены;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и) не допускать регулировок контрольных, измерительных и испытательных средств, включая аппаратное и программное обеспечение испытаний, которые сделали бы недействительной ранее осуществленную п</w:t>
      </w:r>
      <w:r>
        <w:rPr>
          <w:sz w:val="20"/>
        </w:rPr>
        <w:t>оверку.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Система подтверждения метрологической пригодности измерительного оборудования, приведенная в ИСО 10012, может использоваться как методические указания.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4.12 Статус контроля и испытаний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Статус контроля и испытаний продукции должен быть идентифицирован с помощью подходящих средств, указывающих на соответствие или несоответствие продукции в отношении проведенного контроля и испытаний. Идентификация статуса контроля и испытаний должна осуществляться, как определено в программе качества и</w:t>
      </w:r>
      <w:r>
        <w:rPr>
          <w:sz w:val="20"/>
        </w:rPr>
        <w:t xml:space="preserve"> (или) документированных процедурах, в процессе производства, монтажа и технического обслуживания продукции, чтобы гарантировать отправку, использование или монтаж только той продукции, которая прошла необходимый контроль и испытания (или была выпущена на основании разрешения на отклонение) (4.13.2).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4.13 Управление несоответствующей продукцией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4.13.1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Поставщик должен разработать и поддерживать в рабочем состоянии документированные процедуры управления, гарантирующие, что непреднамеренно </w:t>
      </w:r>
      <w:r>
        <w:rPr>
          <w:sz w:val="20"/>
        </w:rPr>
        <w:t>не используется или не монтируется продукция, не соответствующая установленным требованиям. Такое управление должно включать идентификацию, документирование, оценку, отделение (когда это практически выполнимо), утилизацию несоответствующей продукции, а также уведомление заинтересованных служб.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4.13.2 Анализ и утилизация несоответствующей продукции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Должны быть определены ответственность за проведение анализа и полномочия по утилизации несоответствующей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Анализ несоответствующей продукции должен </w:t>
      </w:r>
      <w:r>
        <w:rPr>
          <w:sz w:val="20"/>
        </w:rPr>
        <w:t>осуществляться согласно документированным процедурам. Несоответствующая продукция может быть: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переделана с целью удовлетворения установленным требованиям;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принята с ремонтом или без ремонта по разрешению на отклонение;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переведена в другую категорию (сорт) для использования в других целях;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отбракована или отправлена в отходы.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Если это предусмотрено контрактом, предложения о предлагаемом использовании или </w:t>
      </w:r>
      <w:proofErr w:type="spellStart"/>
      <w:r>
        <w:rPr>
          <w:sz w:val="20"/>
        </w:rPr>
        <w:t>pемонте</w:t>
      </w:r>
      <w:proofErr w:type="spellEnd"/>
      <w:r>
        <w:rPr>
          <w:sz w:val="20"/>
        </w:rPr>
        <w:t xml:space="preserve"> несоответствующей продукции (4.13.2б) должны быть сообщены потребителю или его п</w:t>
      </w:r>
      <w:r>
        <w:rPr>
          <w:sz w:val="20"/>
        </w:rPr>
        <w:t>редставителю с целью получения разрешения на отклонение. Описание оговоренного несоответствия и ремонтных работ должно быть зарегистрировано для обозначения фактического состояния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Отремонтированная и (или) переделанная продукция должна подвергаться повторному контролю в соответствии с программой качества и (или) документированными процедурами.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4.14 Корректирующие и предупреждающие действия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4.14.1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</w:t>
      </w:r>
      <w:r>
        <w:rPr>
          <w:sz w:val="20"/>
        </w:rPr>
        <w:t>оцедуры по осуществлению корректирующих и предупреждающих действий.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Любое корректирующее или предупреждающее действие, предпринятое для устранения причин фактических или потенциальных несоответствий, должно быть адекватным проблемам и учитывать степень риска.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внедрять и регистрировать любые изменения в документированных процедурах, возникающие в результате корректирующих или предупреждающих действий.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4.14.2 Корректирующие действия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Процедуры корректирующих действий должны включать: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э</w:t>
      </w:r>
      <w:r>
        <w:rPr>
          <w:sz w:val="20"/>
        </w:rPr>
        <w:t>ффективное рассмотрение жалоб потребителей и сообщений о несоответствии продукции;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изучение причин несоответствий, относящихся к продукции, процессу и системе качества, и регистрацию результатов такого изучения (4.16);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определение корректирующих действий, необходимых для устранения причины несоответствий;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применение средств управления, гарантирующих, что корректирующие действия предприняты и являются эффективными.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4.14.3 Предупреждающие действия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Процедуры предупреждающих действий должны включа</w:t>
      </w:r>
      <w:r>
        <w:rPr>
          <w:sz w:val="20"/>
        </w:rPr>
        <w:t>ть: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а) использование соответствующих источников информации (процессы и рабочие операции, влияющие на качество продукции, разрешения на отклонения, результаты проверки, протоколы качества, отчеты об обслуживании, жалобы потребителей) с целью выявления, анализа и устранения потенциальных причин несоответствий;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б) определение мер, необходимых для решения любых проблем, требующих проведения предупреждающих действий;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в) инициирование предупреждающих действий и применение средств управления для гарантии их эфф</w:t>
      </w:r>
      <w:r>
        <w:rPr>
          <w:sz w:val="20"/>
        </w:rPr>
        <w:t>ективности;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г) представление соответствующей информации о предпринятых действиях для анализа со стороны руководства (4.1.3).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 Погрузочно-разгрузочные работы, хранение, упаковка, консервация и поставка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4.15.1 Общие положения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 погрузочно-разгрузочных работ, хранения, упаковки, консервации и поставки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4.15.2 Погрузочно-разгрузочные работы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предусматривать методы погрузочно-разгрузочных</w:t>
      </w:r>
      <w:r>
        <w:rPr>
          <w:sz w:val="20"/>
        </w:rPr>
        <w:t xml:space="preserve"> работ, предупреждающие повреждение или порчу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4.15.3 Хранение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использовать предназначенные для хранения склады и помещения с целью предупреждения повреждения или порчи продукции до ее использования или поставки. Следует оговаривать соответствующие методы, регламентирующие приемку продукции в такие складские помещения и ее отправку.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С целью выявления порчи должна проводиться периодическая оценка состояния продукции, хранящейся на складах.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4.15.4 Упаковка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упра</w:t>
      </w:r>
      <w:r>
        <w:rPr>
          <w:sz w:val="20"/>
        </w:rPr>
        <w:t>влять процессами укладки в тару, упаковки и маркировки продукции (включая используемые материалы) в той мере, которая необходима для обеспечения соответствия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4.15.5 Консервация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применять соответствующие методы консервации и отделения продукции, когда она находится в сфере управления поставщика.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4.15.6 Поставка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принять меры по сохранению качества продукции после проведения окончательного контроля и испытаний.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это предусмотрено контрактом,</w:t>
      </w:r>
      <w:r>
        <w:rPr>
          <w:sz w:val="20"/>
        </w:rPr>
        <w:t xml:space="preserve"> то сохранение должно осуществляться вплоть до поставки продукции к месту назначения.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4.16 Управление регистрацией данных о качестве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 идентификации, сбора, индексирования, доступа, составления картотеки, хранения, ведения и изъятия зарегистрированных данных о качестве.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Данные о качестве следует вести для подтверждения соответствия продукции установленным требованиям и эффективности действия системы качества. Соотве</w:t>
      </w:r>
      <w:r>
        <w:rPr>
          <w:sz w:val="20"/>
        </w:rPr>
        <w:t>тствующие данные о качестве продукции субподрядчика должны стать составными элементами этих зарегистрированных данных.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Все данные о качестве должны быть разборчивыми, храниться и содержаться таким образом, чтобы их можно было легко найти. При этом следует обеспечить условия, предупреждающие порчу и предотвращающие их потерю. Сроки хранения данных о качестве должны быть определены и зафиксированы. Если это оговорено в контракте, зарегистрированные данные о качестве должны предоставляться потребителю или его</w:t>
      </w:r>
      <w:r>
        <w:rPr>
          <w:sz w:val="20"/>
        </w:rPr>
        <w:t xml:space="preserve"> представителю на предмет оценки на согласованный период времени.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Примечание - Зарегистрированные данные могут быть на любом бумажном или электронном носителе.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4.17 Внутренние проверки качества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Поставщик должен разработать и поддерживать в рабочем состоянии документированные процедуры планирования и проведения внутренних проверок качества, чтобы удостовериться в соответствии деятельности в области качества и связанных с ней результатов запланированным мероприятиям и для определения эффективности системы </w:t>
      </w:r>
      <w:r>
        <w:rPr>
          <w:sz w:val="20"/>
        </w:rPr>
        <w:t>качества.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Внутренние проверки качества следует планировать на основе статуса и важности проверяемой деятельности. Они должны осуществляться персоналом, не зависимым от лиц, которые несут непосредственную ответственность за проверяемую деятельность.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Результаты проверок должны быть зарегистрированы (4.16) и доведены до сведения персонала, ответственного за проверенный участок работы. Руководящий персонал, ответственный за этот участок, должен своевременно осуществлять корректирующие действия по устранению н</w:t>
      </w:r>
      <w:r>
        <w:rPr>
          <w:sz w:val="20"/>
        </w:rPr>
        <w:t>едостатков, выявленных в процессе проверки.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 последующих проверках должны контролироваться и регистрироваться выполнение и эффективность предпринятых корректирующих действий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Примечания: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1 Результаты внутренних проверок качества образуют составную часть входных данных для анализа со стороны руководства (4.1.3).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 xml:space="preserve">2 Методические указания по проверкам систем качества приведены в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10011-1-93.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4.18 Подготовка кадров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</w:t>
      </w:r>
      <w:r>
        <w:rPr>
          <w:sz w:val="20"/>
        </w:rPr>
        <w:t>ированные процедуры определения потребностей в подготовке кадров, а также обеспечивать подготовку всего персонала, выполняющего работы, влияющие на качество. Персонал, ответственный за выполнение конкретных задач, должен быть квалифицирован на основе соответствующих образования, подготовки и (или) опыта, если это необходимо. Следует вести соответствующую регистрацию данных о подготовке кадров (4.16).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4.19 Обслуживание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Если обслуживание является установленным требованием, поставщик должен разработать и под</w:t>
      </w:r>
      <w:r>
        <w:rPr>
          <w:sz w:val="20"/>
        </w:rPr>
        <w:t>держивать в рабочем состоянии документированные процедуры по его проведению, проверке и отчетности о его соответствии установленным требованиям.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4.20 Статистические методы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4.20.1 Определение потребности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определить потребности в статистических методах, применяемых при разработке, управлении и проверке возможностей технологического процесса и характеристик продукции.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4.20.2 Процедуры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Поставщик должен разработать и поддерживать в рабочем состоянии документированные процедуры использования</w:t>
      </w:r>
      <w:r>
        <w:rPr>
          <w:sz w:val="20"/>
        </w:rPr>
        <w:t xml:space="preserve"> статистических методов, определенных в 4.20.1, и управления их применением.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spacing w:before="0" w:after="0"/>
        <w:ind w:firstLine="284"/>
        <w:jc w:val="both"/>
        <w:rPr>
          <w:sz w:val="20"/>
          <w:lang w:val="en-US"/>
        </w:rPr>
      </w:pPr>
    </w:p>
    <w:p w:rsidR="00000000" w:rsidRDefault="00027E4F">
      <w:pPr>
        <w:spacing w:before="0" w:after="0"/>
        <w:ind w:firstLine="284"/>
        <w:jc w:val="center"/>
        <w:rPr>
          <w:sz w:val="20"/>
          <w:lang w:val="en-US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INCLUDEPICTURE "C:\\Users\\parhomeiai\\Desktop\\СНиПы (пермская база)\\ГОСТы\\Качество\\sxprt?next.gif" \* MERGEFORMAT \d </w:instrText>
      </w:r>
      <w:r>
        <w:rPr>
          <w:sz w:val="20"/>
        </w:rPr>
        <w:fldChar w:fldCharType="end"/>
      </w:r>
      <w:r>
        <w:rPr>
          <w:sz w:val="20"/>
        </w:rPr>
        <w:t xml:space="preserve">Приложение А. </w:t>
      </w:r>
    </w:p>
    <w:p w:rsidR="00000000" w:rsidRDefault="00027E4F">
      <w:pPr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ПЕРЕЧЕНЬ НОРМАТИВНЫХ ДОКУМЕНТОВ СИСТЕМЫ КАЧЕСТВА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  <w:r>
        <w:rPr>
          <w:sz w:val="20"/>
        </w:rPr>
        <w:t>* Приложение приводится в редакции, отличной от ИСО 9001-94.</w:t>
      </w:r>
    </w:p>
    <w:p w:rsidR="00000000" w:rsidRDefault="00027E4F">
      <w:pPr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ПЕРЕЧЕНЬ НОРМАТИВНЫХ ДОКУМЕНТОВ</w:t>
      </w:r>
    </w:p>
    <w:p w:rsidR="00000000" w:rsidRDefault="00027E4F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СИСТЕМЫ КАЧЕСТВА</w:t>
      </w:r>
    </w:p>
    <w:p w:rsidR="00000000" w:rsidRDefault="00027E4F">
      <w:pPr>
        <w:pStyle w:val="H3"/>
        <w:spacing w:before="0" w:after="0"/>
        <w:ind w:firstLine="284"/>
        <w:jc w:val="both"/>
        <w:rPr>
          <w:sz w:val="20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ИСО 9000-1-94          Стандарты по общему руководству качеством и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обеспечению качества. Часть 1. Руководящие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указания по выбору и применению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ГОСТ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ИСО 90</w:t>
      </w:r>
      <w:r>
        <w:rPr>
          <w:rFonts w:ascii="Times New Roman" w:hAnsi="Times New Roman"/>
        </w:rPr>
        <w:t>02-96     Системы качества. Модель обеспечения качества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при производстве, монтаже и обслуживании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ГОСТ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ИСО 9003-96     Системы качества. Модель обеспечения качества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при окончательном контроле и испытаниях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ГОСТ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ИСО 10011-1-93  Руководящие указания по проверке систем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качества. Часть 1. Проверка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ГОСТ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ИСО 10011-2-93  Руководящие указания по проверке систем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качества. Часть 2. Квалификационные критерии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для экспертов-аудиторов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ГОСТ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 xml:space="preserve"> ИСО 10011-3-93  Руководящие указания по проверке систем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качества. Часть 3. Руководство программой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проверок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ИСО 10012-1-92         Требования, гарантирующие качество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измерительного оборудования. Часть 1.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Система подтверждения метрологической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пригодности измерительного оборудования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ИСО 10013-95           Руководящие указания по разработке руководств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по качеству</w:t>
      </w: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027E4F">
      <w:pPr>
        <w:pStyle w:val="ab"/>
        <w:tabs>
          <w:tab w:val="clear" w:pos="9590"/>
        </w:tabs>
        <w:ind w:firstLine="284"/>
        <w:jc w:val="both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E4F"/>
    <w:rsid w:val="0002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pPr>
      <w:spacing w:before="0" w:after="0"/>
    </w:pPr>
  </w:style>
  <w:style w:type="paragraph" w:customStyle="1" w:styleId="a4">
    <w:name w:val="Список определений"/>
    <w:basedOn w:val="a"/>
    <w:next w:val="a3"/>
    <w:pPr>
      <w:spacing w:before="0" w:after="0"/>
      <w:ind w:left="360"/>
    </w:pPr>
  </w:style>
  <w:style w:type="character" w:customStyle="1" w:styleId="a5">
    <w:name w:val="Определение"/>
    <w:rPr>
      <w:i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6">
    <w:name w:val="Адреса"/>
    <w:basedOn w:val="a"/>
    <w:next w:val="a"/>
    <w:pPr>
      <w:spacing w:before="0" w:after="0"/>
    </w:pPr>
    <w:rPr>
      <w:i/>
    </w:rPr>
  </w:style>
  <w:style w:type="paragraph" w:customStyle="1" w:styleId="a7">
    <w:name w:val="Цитаты"/>
    <w:basedOn w:val="a"/>
    <w:pPr>
      <w:ind w:left="360" w:right="360"/>
    </w:pPr>
  </w:style>
  <w:style w:type="character" w:customStyle="1" w:styleId="a8">
    <w:name w:val="Узел"/>
    <w:rPr>
      <w:i/>
    </w:rPr>
  </w:style>
  <w:style w:type="character" w:customStyle="1" w:styleId="a9">
    <w:name w:val="Код"/>
    <w:rPr>
      <w:rFonts w:ascii="Courier New" w:hAnsi="Courier New"/>
      <w:sz w:val="20"/>
    </w:rPr>
  </w:style>
  <w:style w:type="character" w:customStyle="1" w:styleId="Emphasis">
    <w:name w:val="Emphasis"/>
    <w:basedOn w:val="a0"/>
    <w:rPr>
      <w:i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customStyle="1" w:styleId="aa">
    <w:name w:val="Клавиатура"/>
    <w:rPr>
      <w:rFonts w:ascii="Courier New" w:hAnsi="Courier New"/>
      <w:b/>
      <w:sz w:val="20"/>
    </w:rPr>
  </w:style>
  <w:style w:type="paragraph" w:customStyle="1" w:styleId="ab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ac">
    <w:name w:val="Образец"/>
    <w:rPr>
      <w:rFonts w:ascii="Courier New" w:hAnsi="Courier New"/>
    </w:rPr>
  </w:style>
  <w:style w:type="character" w:customStyle="1" w:styleId="Strong">
    <w:name w:val="Strong"/>
    <w:basedOn w:val="a0"/>
    <w:rPr>
      <w:b/>
    </w:rPr>
  </w:style>
  <w:style w:type="character" w:customStyle="1" w:styleId="ad">
    <w:name w:val="Печатная машинка"/>
    <w:rPr>
      <w:rFonts w:ascii="Courier New" w:hAnsi="Courier New"/>
      <w:sz w:val="20"/>
    </w:rPr>
  </w:style>
  <w:style w:type="character" w:customStyle="1" w:styleId="ae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">
    <w:name w:val="Примечание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6309</Words>
  <Characters>35966</Characters>
  <Application>Microsoft Office Word</Application>
  <DocSecurity>0</DocSecurity>
  <Lines>299</Lines>
  <Paragraphs>84</Paragraphs>
  <ScaleCrop>false</ScaleCrop>
  <Company> </Company>
  <LinksUpToDate>false</LinksUpToDate>
  <CharactersWithSpaces>42191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ИСО 9001-96 Системы качества. Модель обеспечения качества при проектировании, разработке, производстве, монтаже и обслуживании</dc:title>
  <dc:subject/>
  <dc:creator> Попов </dc:creator>
  <cp:keywords/>
  <dc:description/>
  <cp:lastModifiedBy>Parhomeiai</cp:lastModifiedBy>
  <cp:revision>2</cp:revision>
  <cp:lastPrinted>1998-04-20T17:18:00Z</cp:lastPrinted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